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46" w:rsidRDefault="00DF5CFD" w:rsidP="00C12146">
      <w:pPr>
        <w:pStyle w:val="NoSpacing"/>
        <w:rPr>
          <w:rFonts w:asciiTheme="majorHAnsi" w:hAnsiTheme="majorHAnsi"/>
          <w:b/>
          <w:color w:val="262A63"/>
          <w:sz w:val="48"/>
        </w:rPr>
      </w:pPr>
      <w:r w:rsidRPr="00DF5CFD">
        <w:rPr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7191375</wp:posOffset>
            </wp:positionH>
            <wp:positionV relativeFrom="margin">
              <wp:posOffset>-104775</wp:posOffset>
            </wp:positionV>
            <wp:extent cx="1581150" cy="1581150"/>
            <wp:effectExtent l="0" t="0" r="0" b="0"/>
            <wp:wrapSquare wrapText="bothSides"/>
            <wp:docPr id="2" name="Picture 2" descr="http://intranet.fldoe.org/Communications/images/fdoecolor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fldoe.org/Communications/images/fdoecolor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146">
        <w:rPr>
          <w:rFonts w:asciiTheme="majorHAnsi" w:hAnsiTheme="majorHAnsi"/>
          <w:b/>
          <w:color w:val="262A63"/>
          <w:sz w:val="48"/>
        </w:rPr>
        <w:t xml:space="preserve">Florida’s </w:t>
      </w:r>
      <w:r w:rsidR="009A64ED" w:rsidRPr="00C12146">
        <w:rPr>
          <w:rFonts w:asciiTheme="majorHAnsi" w:hAnsiTheme="majorHAnsi"/>
          <w:b/>
          <w:color w:val="262A63"/>
          <w:sz w:val="48"/>
        </w:rPr>
        <w:t xml:space="preserve">Professional Learning Standards </w:t>
      </w:r>
    </w:p>
    <w:p w:rsidR="009A64ED" w:rsidRPr="00C12146" w:rsidRDefault="009A64ED" w:rsidP="00C12146">
      <w:pPr>
        <w:pStyle w:val="NoSpacing"/>
        <w:rPr>
          <w:rFonts w:asciiTheme="majorHAnsi" w:hAnsiTheme="majorHAnsi"/>
          <w:b/>
          <w:color w:val="CD9D2C"/>
          <w:sz w:val="36"/>
        </w:rPr>
      </w:pPr>
      <w:r w:rsidRPr="00C12146">
        <w:rPr>
          <w:rFonts w:asciiTheme="majorHAnsi" w:hAnsiTheme="majorHAnsi"/>
          <w:b/>
          <w:color w:val="CD9D2C"/>
          <w:sz w:val="36"/>
        </w:rPr>
        <w:t>Gap Analysis</w:t>
      </w:r>
      <w:r w:rsidR="00C12146" w:rsidRPr="00C12146">
        <w:rPr>
          <w:rFonts w:asciiTheme="majorHAnsi" w:hAnsiTheme="majorHAnsi"/>
          <w:b/>
          <w:color w:val="CD9D2C"/>
          <w:sz w:val="36"/>
        </w:rPr>
        <w:t xml:space="preserve"> Template</w:t>
      </w:r>
    </w:p>
    <w:p w:rsidR="00C12146" w:rsidRDefault="00C12146" w:rsidP="0085768D">
      <w:pPr>
        <w:pStyle w:val="NoSpacing"/>
      </w:pPr>
    </w:p>
    <w:p w:rsidR="00C12146" w:rsidRDefault="00C12146" w:rsidP="00C12146">
      <w:pPr>
        <w:pStyle w:val="NoSpacing"/>
        <w:tabs>
          <w:tab w:val="right" w:pos="10800"/>
        </w:tabs>
      </w:pPr>
      <w:r>
        <w:t xml:space="preserve">District:  </w:t>
      </w:r>
      <w:r w:rsidRPr="00C12146">
        <w:rPr>
          <w:u w:val="single"/>
        </w:rPr>
        <w:tab/>
      </w:r>
    </w:p>
    <w:p w:rsidR="00C12146" w:rsidRDefault="00C12146" w:rsidP="00C12146">
      <w:pPr>
        <w:pStyle w:val="NoSpacing"/>
        <w:tabs>
          <w:tab w:val="right" w:pos="14400"/>
        </w:tabs>
      </w:pPr>
    </w:p>
    <w:p w:rsidR="0085768D" w:rsidRDefault="00C12146" w:rsidP="00C12146">
      <w:pPr>
        <w:pStyle w:val="NoSpacing"/>
        <w:tabs>
          <w:tab w:val="right" w:pos="10800"/>
        </w:tabs>
      </w:pPr>
      <w:r>
        <w:t xml:space="preserve">Learning Activity To Be Analyzed:  </w:t>
      </w:r>
      <w:r w:rsidRPr="00C12146">
        <w:rPr>
          <w:u w:val="single"/>
        </w:rPr>
        <w:tab/>
      </w:r>
    </w:p>
    <w:p w:rsidR="00C12146" w:rsidRDefault="00C12146" w:rsidP="0085768D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3958"/>
        <w:gridCol w:w="3958"/>
        <w:gridCol w:w="3959"/>
      </w:tblGrid>
      <w:tr w:rsidR="009A64ED" w:rsidTr="00C12146">
        <w:trPr>
          <w:trHeight w:val="576"/>
        </w:trPr>
        <w:tc>
          <w:tcPr>
            <w:tcW w:w="14390" w:type="dxa"/>
            <w:gridSpan w:val="4"/>
            <w:shd w:val="clear" w:color="auto" w:fill="262A63"/>
            <w:vAlign w:val="center"/>
          </w:tcPr>
          <w:p w:rsidR="009A64ED" w:rsidRPr="00925D61" w:rsidRDefault="009A64ED" w:rsidP="00C12146">
            <w:pPr>
              <w:rPr>
                <w:b/>
                <w:sz w:val="28"/>
              </w:rPr>
            </w:pPr>
            <w:r w:rsidRPr="00925D61">
              <w:rPr>
                <w:b/>
                <w:sz w:val="28"/>
              </w:rPr>
              <w:t>Domain</w:t>
            </w:r>
            <w:r w:rsidR="0085768D" w:rsidRPr="00925D61">
              <w:rPr>
                <w:b/>
                <w:sz w:val="28"/>
              </w:rPr>
              <w:t xml:space="preserve"> 2</w:t>
            </w:r>
            <w:r w:rsidRPr="00925D61">
              <w:rPr>
                <w:b/>
                <w:sz w:val="28"/>
              </w:rPr>
              <w:t>:</w:t>
            </w:r>
            <w:r w:rsidR="0085768D" w:rsidRPr="00925D61">
              <w:rPr>
                <w:b/>
                <w:sz w:val="28"/>
              </w:rPr>
              <w:t xml:space="preserve"> Learning</w:t>
            </w:r>
          </w:p>
        </w:tc>
      </w:tr>
      <w:tr w:rsidR="0085768D" w:rsidRPr="0085768D" w:rsidTr="00C12146">
        <w:trPr>
          <w:trHeight w:val="720"/>
        </w:trPr>
        <w:tc>
          <w:tcPr>
            <w:tcW w:w="14390" w:type="dxa"/>
            <w:gridSpan w:val="4"/>
            <w:shd w:val="clear" w:color="auto" w:fill="3873AE"/>
            <w:vAlign w:val="center"/>
          </w:tcPr>
          <w:p w:rsidR="0085768D" w:rsidRPr="0085768D" w:rsidRDefault="009A64ED" w:rsidP="00C12146">
            <w:pPr>
              <w:rPr>
                <w:color w:val="FFFFFF" w:themeColor="background1"/>
                <w:sz w:val="24"/>
              </w:rPr>
            </w:pPr>
            <w:r w:rsidRPr="00DF5CFD">
              <w:rPr>
                <w:b/>
                <w:color w:val="FFFFFF" w:themeColor="background1"/>
                <w:sz w:val="24"/>
              </w:rPr>
              <w:t>Standard</w:t>
            </w:r>
            <w:r w:rsidR="0085768D" w:rsidRPr="00DF5CFD">
              <w:rPr>
                <w:b/>
                <w:color w:val="FFFFFF" w:themeColor="background1"/>
                <w:sz w:val="24"/>
              </w:rPr>
              <w:t xml:space="preserve"> 2.2</w:t>
            </w:r>
            <w:r w:rsidRPr="00DF5CFD">
              <w:rPr>
                <w:b/>
                <w:color w:val="FFFFFF" w:themeColor="background1"/>
                <w:sz w:val="24"/>
              </w:rPr>
              <w:t>:</w:t>
            </w:r>
            <w:r w:rsidR="0085768D" w:rsidRPr="00DF5CFD">
              <w:rPr>
                <w:b/>
                <w:color w:val="FFFFFF" w:themeColor="background1"/>
                <w:sz w:val="24"/>
              </w:rPr>
              <w:t xml:space="preserve"> Learning Designs</w:t>
            </w:r>
            <w:r w:rsidR="0085768D" w:rsidRPr="00DF5CFD">
              <w:rPr>
                <w:color w:val="FFFFFF" w:themeColor="background1"/>
                <w:sz w:val="24"/>
              </w:rPr>
              <w:t xml:space="preserve"> </w:t>
            </w:r>
            <w:r w:rsidR="0085768D">
              <w:rPr>
                <w:color w:val="FFFFFF" w:themeColor="background1"/>
                <w:sz w:val="24"/>
              </w:rPr>
              <w:t xml:space="preserve">– </w:t>
            </w:r>
            <w:r w:rsidR="0085768D" w:rsidRPr="0085768D">
              <w:rPr>
                <w:color w:val="FFFFFF" w:themeColor="background1"/>
                <w:sz w:val="24"/>
              </w:rPr>
              <w:t>Professional learning includes use of research- and evidence-based learning designs to continually improve educator practice and student outcomes.</w:t>
            </w:r>
          </w:p>
        </w:tc>
      </w:tr>
      <w:tr w:rsidR="00DF5CFD" w:rsidTr="008919CC">
        <w:trPr>
          <w:trHeight w:val="720"/>
        </w:trPr>
        <w:tc>
          <w:tcPr>
            <w:tcW w:w="2515" w:type="dxa"/>
            <w:shd w:val="clear" w:color="auto" w:fill="EBD5A3"/>
            <w:vAlign w:val="center"/>
          </w:tcPr>
          <w:p w:rsidR="009A64ED" w:rsidRPr="0085768D" w:rsidRDefault="00DF5CFD" w:rsidP="00C12146">
            <w:pPr>
              <w:jc w:val="center"/>
              <w:rPr>
                <w:b/>
              </w:rPr>
            </w:pPr>
            <w:r>
              <w:rPr>
                <w:b/>
              </w:rPr>
              <w:t>Indicator</w:t>
            </w:r>
            <w:r w:rsidR="009A64ED" w:rsidRPr="0085768D">
              <w:rPr>
                <w:b/>
              </w:rPr>
              <w:t xml:space="preserve"> </w:t>
            </w:r>
          </w:p>
          <w:p w:rsidR="008919CC" w:rsidRDefault="009A64ED" w:rsidP="008919CC">
            <w:pPr>
              <w:jc w:val="center"/>
              <w:rPr>
                <w:i/>
                <w:sz w:val="16"/>
              </w:rPr>
            </w:pPr>
            <w:r w:rsidRPr="0085768D">
              <w:rPr>
                <w:i/>
                <w:sz w:val="16"/>
              </w:rPr>
              <w:t>(i.e., examples of the standard</w:t>
            </w:r>
          </w:p>
          <w:p w:rsidR="009A64ED" w:rsidRPr="009A64ED" w:rsidRDefault="008919CC" w:rsidP="008919CC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 in practice</w:t>
            </w:r>
            <w:r w:rsidR="009A64ED" w:rsidRPr="0085768D">
              <w:rPr>
                <w:i/>
                <w:sz w:val="16"/>
              </w:rPr>
              <w:t>)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9A64ED" w:rsidRPr="0085768D" w:rsidRDefault="008919CC" w:rsidP="00C12146">
            <w:pPr>
              <w:jc w:val="center"/>
              <w:rPr>
                <w:b/>
              </w:rPr>
            </w:pPr>
            <w:r>
              <w:rPr>
                <w:b/>
              </w:rPr>
              <w:t>Questions To Consider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9A64ED" w:rsidRPr="0085768D" w:rsidRDefault="008919CC" w:rsidP="00C12146">
            <w:pPr>
              <w:jc w:val="center"/>
              <w:rPr>
                <w:b/>
              </w:rPr>
            </w:pPr>
            <w:r>
              <w:rPr>
                <w:b/>
              </w:rPr>
              <w:t>Current State</w:t>
            </w:r>
          </w:p>
        </w:tc>
        <w:tc>
          <w:tcPr>
            <w:tcW w:w="3959" w:type="dxa"/>
            <w:shd w:val="clear" w:color="auto" w:fill="EBD5A3"/>
            <w:vAlign w:val="center"/>
          </w:tcPr>
          <w:p w:rsidR="009A64ED" w:rsidRPr="0085768D" w:rsidRDefault="0085768D" w:rsidP="008919CC">
            <w:pPr>
              <w:jc w:val="center"/>
              <w:rPr>
                <w:b/>
              </w:rPr>
            </w:pPr>
            <w:r w:rsidRPr="0085768D">
              <w:rPr>
                <w:b/>
              </w:rPr>
              <w:t>Potential</w:t>
            </w:r>
            <w:r w:rsidR="008919CC" w:rsidRPr="0085768D">
              <w:rPr>
                <w:b/>
              </w:rPr>
              <w:t xml:space="preserve"> </w:t>
            </w:r>
            <w:r w:rsidR="008919CC" w:rsidRPr="0085768D">
              <w:rPr>
                <w:b/>
              </w:rPr>
              <w:t>Actions To Take</w:t>
            </w:r>
          </w:p>
        </w:tc>
      </w:tr>
      <w:tr w:rsidR="009A64ED" w:rsidTr="008919CC">
        <w:tc>
          <w:tcPr>
            <w:tcW w:w="2515" w:type="dxa"/>
          </w:tcPr>
          <w:p w:rsidR="009A64ED" w:rsidRDefault="0085768D" w:rsidP="00C12146">
            <w:r w:rsidRPr="0085768D">
              <w:t>Considering the desired outcomes and educator and student learning needs, interests, and experiences in the selection of learning designs</w:t>
            </w:r>
          </w:p>
        </w:tc>
        <w:tc>
          <w:tcPr>
            <w:tcW w:w="3958" w:type="dxa"/>
          </w:tcPr>
          <w:p w:rsidR="009A64ED" w:rsidRDefault="008919CC" w:rsidP="00C12146">
            <w:r>
              <w:t>Does the</w:t>
            </w:r>
            <w:r w:rsidR="00925D61">
              <w:t xml:space="preserve"> activity </w:t>
            </w:r>
            <w:r>
              <w:t>consider</w:t>
            </w:r>
            <w:r w:rsidR="00925D61">
              <w:t xml:space="preserve"> specific </w:t>
            </w:r>
            <w:r w:rsidR="00925D61" w:rsidRPr="0085768D">
              <w:t xml:space="preserve">educator </w:t>
            </w:r>
            <w:r w:rsidR="00925D61">
              <w:t>or</w:t>
            </w:r>
            <w:r w:rsidR="00925D61" w:rsidRPr="0085768D">
              <w:t xml:space="preserve"> student learning needs</w:t>
            </w:r>
            <w:r w:rsidR="00925D61">
              <w:t xml:space="preserve"> (e.g., using formative assessments, helping students examine their reasoning</w:t>
            </w:r>
            <w:r w:rsidR="00AB03ED">
              <w:t>, specific student standard</w:t>
            </w:r>
            <w:r w:rsidR="00925D61">
              <w:t>)?</w:t>
            </w:r>
          </w:p>
          <w:p w:rsidR="00925D61" w:rsidRDefault="00925D61" w:rsidP="00C12146"/>
          <w:p w:rsidR="00DF5CFD" w:rsidRDefault="00DF5CFD" w:rsidP="00C12146">
            <w:r>
              <w:t>Does the activity move beyond basic comprehension and allow educators to</w:t>
            </w:r>
            <w:r w:rsidR="008919CC">
              <w:t xml:space="preserve"> </w:t>
            </w:r>
            <w:r w:rsidR="008919CC" w:rsidRPr="008919CC">
              <w:t xml:space="preserve">apply the </w:t>
            </w:r>
            <w:r w:rsidR="008919CC">
              <w:t>learning</w:t>
            </w:r>
            <w:r w:rsidR="008919CC" w:rsidRPr="008919CC">
              <w:t xml:space="preserve"> they are expected to use</w:t>
            </w:r>
            <w:r w:rsidR="008919CC">
              <w:t>?</w:t>
            </w:r>
          </w:p>
          <w:p w:rsidR="00DF5CFD" w:rsidRDefault="00DF5CFD" w:rsidP="00C12146"/>
          <w:p w:rsidR="00AB03ED" w:rsidRDefault="00AB03ED" w:rsidP="00C12146">
            <w:r>
              <w:t xml:space="preserve">Does the activity consider the interests of the educators (e.g., educators have choice)? </w:t>
            </w:r>
          </w:p>
          <w:p w:rsidR="00AB03ED" w:rsidRDefault="00AB03ED" w:rsidP="00C12146"/>
          <w:p w:rsidR="00AB03ED" w:rsidRDefault="00DF5CFD" w:rsidP="00C12146">
            <w:r>
              <w:t xml:space="preserve">Does the activity consider the </w:t>
            </w:r>
            <w:r w:rsidR="00AB03ED">
              <w:t>areas of expertise of the educators (e.g., music, language arts, U.S. History)?</w:t>
            </w:r>
          </w:p>
          <w:p w:rsidR="00AB03ED" w:rsidRDefault="00AB03ED" w:rsidP="00C12146"/>
          <w:p w:rsidR="00AB03ED" w:rsidRDefault="00AB03ED" w:rsidP="008919CC">
            <w:r w:rsidRPr="00AB03ED">
              <w:t xml:space="preserve">Does the activity consider the </w:t>
            </w:r>
            <w:r>
              <w:t>level</w:t>
            </w:r>
            <w:r w:rsidRPr="00AB03ED">
              <w:t xml:space="preserve"> of expertise</w:t>
            </w:r>
            <w:r>
              <w:t xml:space="preserve"> of the educator</w:t>
            </w:r>
            <w:r w:rsidR="00DF5CFD">
              <w:t xml:space="preserve"> (e.g., </w:t>
            </w:r>
            <w:r w:rsidR="008919CC">
              <w:t xml:space="preserve">first-year, </w:t>
            </w:r>
            <w:r w:rsidR="00DF5CFD">
              <w:t>begi</w:t>
            </w:r>
            <w:r w:rsidR="008919CC">
              <w:t>nning, veteran, alt cert</w:t>
            </w:r>
            <w:r w:rsidR="00DF5CFD">
              <w:t>)</w:t>
            </w:r>
            <w:r w:rsidR="008919CC">
              <w:t>?</w:t>
            </w:r>
          </w:p>
          <w:p w:rsidR="00B27CE2" w:rsidRDefault="00B27CE2" w:rsidP="008919CC"/>
        </w:tc>
        <w:tc>
          <w:tcPr>
            <w:tcW w:w="3958" w:type="dxa"/>
          </w:tcPr>
          <w:p w:rsidR="009A64ED" w:rsidRDefault="009A64ED" w:rsidP="00C12146"/>
        </w:tc>
        <w:tc>
          <w:tcPr>
            <w:tcW w:w="3959" w:type="dxa"/>
          </w:tcPr>
          <w:p w:rsidR="009A64ED" w:rsidRDefault="009A64ED" w:rsidP="00C12146"/>
        </w:tc>
      </w:tr>
    </w:tbl>
    <w:p w:rsidR="002A7149" w:rsidRPr="00B27CE2" w:rsidRDefault="002A7149">
      <w:pPr>
        <w:rPr>
          <w:sz w:val="12"/>
        </w:rPr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3958"/>
        <w:gridCol w:w="3958"/>
        <w:gridCol w:w="3959"/>
      </w:tblGrid>
      <w:tr w:rsidR="002A7149" w:rsidTr="00AA71C6">
        <w:trPr>
          <w:trHeight w:val="576"/>
        </w:trPr>
        <w:tc>
          <w:tcPr>
            <w:tcW w:w="14390" w:type="dxa"/>
            <w:gridSpan w:val="4"/>
            <w:shd w:val="clear" w:color="auto" w:fill="262A63"/>
            <w:vAlign w:val="center"/>
          </w:tcPr>
          <w:p w:rsidR="002A7149" w:rsidRPr="00925D61" w:rsidRDefault="002A7149" w:rsidP="002A7149">
            <w:pPr>
              <w:rPr>
                <w:b/>
                <w:sz w:val="28"/>
              </w:rPr>
            </w:pPr>
            <w:r w:rsidRPr="00925D61">
              <w:rPr>
                <w:b/>
                <w:sz w:val="28"/>
              </w:rPr>
              <w:lastRenderedPageBreak/>
              <w:t>Domain 2: Learning</w:t>
            </w:r>
          </w:p>
        </w:tc>
      </w:tr>
      <w:tr w:rsidR="002A7149" w:rsidRPr="0085768D" w:rsidTr="00AA71C6">
        <w:trPr>
          <w:trHeight w:val="720"/>
        </w:trPr>
        <w:tc>
          <w:tcPr>
            <w:tcW w:w="14390" w:type="dxa"/>
            <w:gridSpan w:val="4"/>
            <w:shd w:val="clear" w:color="auto" w:fill="3873AE"/>
            <w:vAlign w:val="center"/>
          </w:tcPr>
          <w:p w:rsidR="002A7149" w:rsidRPr="0085768D" w:rsidRDefault="002A7149" w:rsidP="002A7149">
            <w:pPr>
              <w:rPr>
                <w:color w:val="FFFFFF" w:themeColor="background1"/>
                <w:sz w:val="24"/>
              </w:rPr>
            </w:pPr>
            <w:r w:rsidRPr="00DF5CFD">
              <w:rPr>
                <w:b/>
                <w:color w:val="FFFFFF" w:themeColor="background1"/>
                <w:sz w:val="24"/>
              </w:rPr>
              <w:t>Standard 2.2: Learning Designs</w:t>
            </w:r>
            <w:r w:rsidRPr="00DF5CFD">
              <w:rPr>
                <w:color w:val="FFFFFF" w:themeColor="background1"/>
                <w:sz w:val="24"/>
              </w:rPr>
              <w:t xml:space="preserve"> </w:t>
            </w:r>
            <w:r>
              <w:rPr>
                <w:color w:val="FFFFFF" w:themeColor="background1"/>
                <w:sz w:val="24"/>
              </w:rPr>
              <w:t xml:space="preserve">– </w:t>
            </w:r>
            <w:r w:rsidRPr="0085768D">
              <w:rPr>
                <w:color w:val="FFFFFF" w:themeColor="background1"/>
                <w:sz w:val="24"/>
              </w:rPr>
              <w:t>Professional learning includes use of research- and evidence-based learning designs to continually improve educator practice and student outcomes.</w:t>
            </w:r>
          </w:p>
        </w:tc>
      </w:tr>
      <w:tr w:rsidR="002A7149" w:rsidTr="00AA71C6">
        <w:trPr>
          <w:trHeight w:val="720"/>
        </w:trPr>
        <w:tc>
          <w:tcPr>
            <w:tcW w:w="2515" w:type="dxa"/>
            <w:shd w:val="clear" w:color="auto" w:fill="EBD5A3"/>
            <w:vAlign w:val="center"/>
          </w:tcPr>
          <w:p w:rsidR="002A7149" w:rsidRPr="0085768D" w:rsidRDefault="002A7149" w:rsidP="002A7149">
            <w:pPr>
              <w:jc w:val="center"/>
              <w:rPr>
                <w:b/>
              </w:rPr>
            </w:pPr>
            <w:r>
              <w:rPr>
                <w:b/>
              </w:rPr>
              <w:t>Indicator</w:t>
            </w:r>
            <w:r w:rsidRPr="0085768D">
              <w:rPr>
                <w:b/>
              </w:rPr>
              <w:t xml:space="preserve"> </w:t>
            </w:r>
          </w:p>
          <w:p w:rsidR="002A7149" w:rsidRDefault="002A7149" w:rsidP="002A7149">
            <w:pPr>
              <w:jc w:val="center"/>
              <w:rPr>
                <w:i/>
                <w:sz w:val="16"/>
              </w:rPr>
            </w:pPr>
            <w:r w:rsidRPr="0085768D">
              <w:rPr>
                <w:i/>
                <w:sz w:val="16"/>
              </w:rPr>
              <w:t>(i.e., examples of the standard</w:t>
            </w:r>
          </w:p>
          <w:p w:rsidR="002A7149" w:rsidRPr="009A64ED" w:rsidRDefault="002A7149" w:rsidP="002A7149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 in practice</w:t>
            </w:r>
            <w:r w:rsidRPr="0085768D">
              <w:rPr>
                <w:i/>
                <w:sz w:val="16"/>
              </w:rPr>
              <w:t>)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2A7149" w:rsidRPr="0085768D" w:rsidRDefault="002A7149" w:rsidP="002A7149">
            <w:pPr>
              <w:jc w:val="center"/>
              <w:rPr>
                <w:b/>
              </w:rPr>
            </w:pPr>
            <w:r>
              <w:rPr>
                <w:b/>
              </w:rPr>
              <w:t>Questions To Consider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2A7149" w:rsidRPr="0085768D" w:rsidRDefault="002A7149" w:rsidP="002A7149">
            <w:pPr>
              <w:jc w:val="center"/>
              <w:rPr>
                <w:b/>
              </w:rPr>
            </w:pPr>
            <w:r>
              <w:rPr>
                <w:b/>
              </w:rPr>
              <w:t>Current State</w:t>
            </w:r>
          </w:p>
        </w:tc>
        <w:tc>
          <w:tcPr>
            <w:tcW w:w="3959" w:type="dxa"/>
            <w:shd w:val="clear" w:color="auto" w:fill="EBD5A3"/>
            <w:vAlign w:val="center"/>
          </w:tcPr>
          <w:p w:rsidR="002A7149" w:rsidRPr="0085768D" w:rsidRDefault="002A7149" w:rsidP="002A7149">
            <w:pPr>
              <w:jc w:val="center"/>
              <w:rPr>
                <w:b/>
              </w:rPr>
            </w:pPr>
            <w:r w:rsidRPr="0085768D">
              <w:rPr>
                <w:b/>
              </w:rPr>
              <w:t>Potential Actions To Take</w:t>
            </w:r>
          </w:p>
        </w:tc>
      </w:tr>
      <w:tr w:rsidR="009A64ED" w:rsidTr="008919CC">
        <w:tc>
          <w:tcPr>
            <w:tcW w:w="2515" w:type="dxa"/>
          </w:tcPr>
          <w:p w:rsidR="009A64ED" w:rsidRDefault="0085768D" w:rsidP="00C12146">
            <w:r w:rsidRPr="0085768D">
              <w:t>Utilizing face-to-face, online, and blended learning design models that focus on sustained individual, team, and school learning</w:t>
            </w:r>
          </w:p>
        </w:tc>
        <w:tc>
          <w:tcPr>
            <w:tcW w:w="3958" w:type="dxa"/>
          </w:tcPr>
          <w:p w:rsidR="009A64ED" w:rsidRDefault="002A7149" w:rsidP="008919CC">
            <w:r>
              <w:t xml:space="preserve">What is the </w:t>
            </w:r>
            <w:r w:rsidR="00777497">
              <w:t xml:space="preserve">learning </w:t>
            </w:r>
            <w:r>
              <w:t xml:space="preserve">format </w:t>
            </w:r>
            <w:r w:rsidR="008919CC">
              <w:t>for this activity (e.g., online</w:t>
            </w:r>
            <w:r>
              <w:t xml:space="preserve"> module</w:t>
            </w:r>
            <w:r w:rsidR="008919CC">
              <w:t>, face-to-face</w:t>
            </w:r>
            <w:r>
              <w:t xml:space="preserve"> workshop, job-embedded, blended</w:t>
            </w:r>
            <w:r w:rsidR="008919CC">
              <w:t>)?</w:t>
            </w:r>
          </w:p>
          <w:p w:rsidR="008919CC" w:rsidRDefault="008919CC" w:rsidP="008919CC"/>
          <w:p w:rsidR="002A7149" w:rsidRDefault="002A7149" w:rsidP="002A7149">
            <w:r>
              <w:t xml:space="preserve">Does the activity </w:t>
            </w:r>
            <w:r w:rsidRPr="002A7149">
              <w:t>focus on individual</w:t>
            </w:r>
            <w:r>
              <w:t xml:space="preserve">, pairs, team, </w:t>
            </w:r>
            <w:r w:rsidRPr="002A7149">
              <w:t>or whole-school learning</w:t>
            </w:r>
            <w:r>
              <w:t>?</w:t>
            </w:r>
          </w:p>
          <w:p w:rsidR="002A7149" w:rsidRDefault="002A7149" w:rsidP="002A7149"/>
          <w:p w:rsidR="008919CC" w:rsidRDefault="002A7149" w:rsidP="002A7149">
            <w:r>
              <w:t>Does the activity occur regularly over a period of time or is it a one-time occurrence?</w:t>
            </w:r>
          </w:p>
          <w:p w:rsidR="00B27CE2" w:rsidRDefault="00B27CE2" w:rsidP="002A7149"/>
          <w:p w:rsidR="00B27CE2" w:rsidRPr="008919CC" w:rsidRDefault="00B27CE2" w:rsidP="002A7149"/>
        </w:tc>
        <w:tc>
          <w:tcPr>
            <w:tcW w:w="3958" w:type="dxa"/>
          </w:tcPr>
          <w:p w:rsidR="009A64ED" w:rsidRDefault="009A64ED" w:rsidP="00C12146"/>
        </w:tc>
        <w:tc>
          <w:tcPr>
            <w:tcW w:w="3959" w:type="dxa"/>
          </w:tcPr>
          <w:p w:rsidR="009A64ED" w:rsidRDefault="009A64ED" w:rsidP="00C12146"/>
        </w:tc>
      </w:tr>
      <w:tr w:rsidR="00B27CE2" w:rsidTr="00AA71C6">
        <w:tc>
          <w:tcPr>
            <w:tcW w:w="2515" w:type="dxa"/>
          </w:tcPr>
          <w:p w:rsidR="00B27CE2" w:rsidRPr="0085768D" w:rsidRDefault="00B27CE2" w:rsidP="00AA71C6">
            <w:r w:rsidRPr="0085768D">
              <w:t>Supporting collaboration among educators to deepen professional practice and foster a sense of collective responsibility for improving student outcomes</w:t>
            </w:r>
          </w:p>
        </w:tc>
        <w:tc>
          <w:tcPr>
            <w:tcW w:w="3958" w:type="dxa"/>
          </w:tcPr>
          <w:p w:rsidR="00B27CE2" w:rsidRDefault="00B27CE2" w:rsidP="00AA71C6">
            <w:r>
              <w:t>Does the activity encourage educators to collaborate to increase student learning (e.g., providing</w:t>
            </w:r>
            <w:r w:rsidRPr="00757954">
              <w:t xml:space="preserve"> feedback </w:t>
            </w:r>
            <w:r>
              <w:t xml:space="preserve">to each other </w:t>
            </w:r>
            <w:r w:rsidRPr="00757954">
              <w:t>about their practice, visit</w:t>
            </w:r>
            <w:r>
              <w:t>ing</w:t>
            </w:r>
            <w:r w:rsidRPr="00757954">
              <w:t xml:space="preserve"> each other's classrooms</w:t>
            </w:r>
            <w:r>
              <w:t>)?</w:t>
            </w:r>
          </w:p>
          <w:p w:rsidR="00B27CE2" w:rsidRDefault="00B27CE2" w:rsidP="00AA71C6"/>
          <w:p w:rsidR="00B27CE2" w:rsidRDefault="00B27CE2" w:rsidP="00AA71C6">
            <w:r>
              <w:t xml:space="preserve">Does the activity </w:t>
            </w:r>
            <w:r w:rsidRPr="0085768D">
              <w:t>foster a sense of collective responsibility</w:t>
            </w:r>
            <w:r>
              <w:t xml:space="preserve"> (e.g., educators feel ownership for the learning of all students and increasing the effectiveness of other educators)?</w:t>
            </w:r>
          </w:p>
          <w:p w:rsidR="00B27CE2" w:rsidRDefault="00B27CE2" w:rsidP="00AA71C6"/>
          <w:p w:rsidR="00B27CE2" w:rsidRDefault="00B27CE2" w:rsidP="00AA71C6">
            <w:r>
              <w:t>Does the activity promote peer accountability among educators (e.g., regular attendance, splitting of responsibilities, sharing resources)?</w:t>
            </w:r>
          </w:p>
          <w:p w:rsidR="00B27CE2" w:rsidRDefault="00B27CE2" w:rsidP="00AA71C6"/>
          <w:p w:rsidR="00B27CE2" w:rsidRDefault="00B27CE2" w:rsidP="00AA71C6"/>
        </w:tc>
        <w:tc>
          <w:tcPr>
            <w:tcW w:w="3958" w:type="dxa"/>
          </w:tcPr>
          <w:p w:rsidR="00B27CE2" w:rsidRDefault="00B27CE2" w:rsidP="00AA71C6"/>
        </w:tc>
        <w:tc>
          <w:tcPr>
            <w:tcW w:w="3959" w:type="dxa"/>
          </w:tcPr>
          <w:p w:rsidR="00B27CE2" w:rsidRDefault="00B27CE2" w:rsidP="00AA71C6"/>
        </w:tc>
      </w:tr>
    </w:tbl>
    <w:p w:rsidR="00B27CE2" w:rsidRDefault="00B27CE2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3958"/>
        <w:gridCol w:w="3958"/>
        <w:gridCol w:w="3959"/>
      </w:tblGrid>
      <w:tr w:rsidR="00B27CE2" w:rsidTr="00AA71C6">
        <w:trPr>
          <w:trHeight w:val="576"/>
        </w:trPr>
        <w:tc>
          <w:tcPr>
            <w:tcW w:w="14390" w:type="dxa"/>
            <w:gridSpan w:val="4"/>
            <w:shd w:val="clear" w:color="auto" w:fill="262A63"/>
            <w:vAlign w:val="center"/>
          </w:tcPr>
          <w:p w:rsidR="00B27CE2" w:rsidRPr="00925D61" w:rsidRDefault="00B27CE2" w:rsidP="00B27CE2">
            <w:pPr>
              <w:rPr>
                <w:b/>
                <w:sz w:val="28"/>
              </w:rPr>
            </w:pPr>
            <w:r w:rsidRPr="00925D61">
              <w:rPr>
                <w:b/>
                <w:sz w:val="28"/>
              </w:rPr>
              <w:lastRenderedPageBreak/>
              <w:t>Domain 2: Learning</w:t>
            </w:r>
          </w:p>
        </w:tc>
      </w:tr>
      <w:tr w:rsidR="00B27CE2" w:rsidRPr="0085768D" w:rsidTr="00AA71C6">
        <w:trPr>
          <w:trHeight w:val="720"/>
        </w:trPr>
        <w:tc>
          <w:tcPr>
            <w:tcW w:w="14390" w:type="dxa"/>
            <w:gridSpan w:val="4"/>
            <w:shd w:val="clear" w:color="auto" w:fill="3873AE"/>
            <w:vAlign w:val="center"/>
          </w:tcPr>
          <w:p w:rsidR="00B27CE2" w:rsidRPr="0085768D" w:rsidRDefault="00B27CE2" w:rsidP="00B27CE2">
            <w:pPr>
              <w:rPr>
                <w:color w:val="FFFFFF" w:themeColor="background1"/>
                <w:sz w:val="24"/>
              </w:rPr>
            </w:pPr>
            <w:r w:rsidRPr="00DF5CFD">
              <w:rPr>
                <w:b/>
                <w:color w:val="FFFFFF" w:themeColor="background1"/>
                <w:sz w:val="24"/>
              </w:rPr>
              <w:t>Standard 2.2: Learning Designs</w:t>
            </w:r>
            <w:r w:rsidRPr="00DF5CFD">
              <w:rPr>
                <w:color w:val="FFFFFF" w:themeColor="background1"/>
                <w:sz w:val="24"/>
              </w:rPr>
              <w:t xml:space="preserve"> </w:t>
            </w:r>
            <w:r>
              <w:rPr>
                <w:color w:val="FFFFFF" w:themeColor="background1"/>
                <w:sz w:val="24"/>
              </w:rPr>
              <w:t xml:space="preserve">– </w:t>
            </w:r>
            <w:r w:rsidRPr="0085768D">
              <w:rPr>
                <w:color w:val="FFFFFF" w:themeColor="background1"/>
                <w:sz w:val="24"/>
              </w:rPr>
              <w:t>Professional learning includes use of research- and evidence-based learning designs to continually improve educator practice and student outcomes.</w:t>
            </w:r>
          </w:p>
        </w:tc>
      </w:tr>
      <w:tr w:rsidR="00B27CE2" w:rsidTr="00AA71C6">
        <w:trPr>
          <w:trHeight w:val="720"/>
        </w:trPr>
        <w:tc>
          <w:tcPr>
            <w:tcW w:w="2515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>
              <w:rPr>
                <w:b/>
              </w:rPr>
              <w:t>Indicator</w:t>
            </w:r>
            <w:r w:rsidRPr="0085768D">
              <w:rPr>
                <w:b/>
              </w:rPr>
              <w:t xml:space="preserve"> </w:t>
            </w:r>
          </w:p>
          <w:p w:rsidR="00B27CE2" w:rsidRDefault="00B27CE2" w:rsidP="00B27CE2">
            <w:pPr>
              <w:jc w:val="center"/>
              <w:rPr>
                <w:i/>
                <w:sz w:val="16"/>
              </w:rPr>
            </w:pPr>
            <w:r w:rsidRPr="0085768D">
              <w:rPr>
                <w:i/>
                <w:sz w:val="16"/>
              </w:rPr>
              <w:t>(i.e., examples of the standard</w:t>
            </w:r>
          </w:p>
          <w:p w:rsidR="00B27CE2" w:rsidRPr="009A64ED" w:rsidRDefault="00B27CE2" w:rsidP="00B27CE2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 in practice</w:t>
            </w:r>
            <w:r w:rsidRPr="0085768D">
              <w:rPr>
                <w:i/>
                <w:sz w:val="16"/>
              </w:rPr>
              <w:t>)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>
              <w:rPr>
                <w:b/>
              </w:rPr>
              <w:t>Questions To Consider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>
              <w:rPr>
                <w:b/>
              </w:rPr>
              <w:t>Current State</w:t>
            </w:r>
          </w:p>
        </w:tc>
        <w:tc>
          <w:tcPr>
            <w:tcW w:w="3959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 w:rsidRPr="0085768D">
              <w:rPr>
                <w:b/>
              </w:rPr>
              <w:t>Potential Actions To Take</w:t>
            </w:r>
          </w:p>
        </w:tc>
      </w:tr>
      <w:tr w:rsidR="0085768D" w:rsidTr="008919CC">
        <w:tc>
          <w:tcPr>
            <w:tcW w:w="2515" w:type="dxa"/>
          </w:tcPr>
          <w:p w:rsidR="0085768D" w:rsidRPr="0085768D" w:rsidRDefault="0085768D" w:rsidP="00C12146">
            <w:r w:rsidRPr="0085768D">
              <w:t>Enabling educators to construct new, relevant, and personalized learning through processes such as active engagement, modeling, application, assessment, reflection, feedback, and ongoing support</w:t>
            </w:r>
          </w:p>
        </w:tc>
        <w:tc>
          <w:tcPr>
            <w:tcW w:w="3958" w:type="dxa"/>
          </w:tcPr>
          <w:p w:rsidR="00777497" w:rsidRDefault="00777497" w:rsidP="00C12146">
            <w:r>
              <w:t>Is the learning for th</w:t>
            </w:r>
            <w:r w:rsidR="006B0B31">
              <w:t>e</w:t>
            </w:r>
            <w:r>
              <w:t xml:space="preserve"> activity relevant to educators (e.g., covers concepts for upcoming units, applicable to the grade levels taught)?</w:t>
            </w:r>
          </w:p>
          <w:p w:rsidR="00777497" w:rsidRDefault="00777497" w:rsidP="00C12146"/>
          <w:p w:rsidR="0085768D" w:rsidRDefault="00AB03ED" w:rsidP="00777497">
            <w:r>
              <w:t>Does th</w:t>
            </w:r>
            <w:r w:rsidR="006B0B31">
              <w:t>e</w:t>
            </w:r>
            <w:r>
              <w:t xml:space="preserve"> activity allow </w:t>
            </w:r>
            <w:r w:rsidR="00777497">
              <w:t>educators to construct new learning (e.g., presents information not previously known, provides for inquiry or research)?</w:t>
            </w:r>
          </w:p>
          <w:p w:rsidR="004C2C1C" w:rsidRDefault="004C2C1C" w:rsidP="00777497"/>
          <w:p w:rsidR="004C2C1C" w:rsidRDefault="004C2C1C" w:rsidP="004C2C1C">
            <w:r>
              <w:t>Does th</w:t>
            </w:r>
            <w:r w:rsidR="006B0B31">
              <w:t>e</w:t>
            </w:r>
            <w:r>
              <w:t xml:space="preserve"> activity allow educators to </w:t>
            </w:r>
            <w:r w:rsidRPr="004C2C1C">
              <w:t xml:space="preserve">interact </w:t>
            </w:r>
            <w:r w:rsidRPr="004C2C1C">
              <w:t>with the content and</w:t>
            </w:r>
            <w:r>
              <w:t xml:space="preserve"> </w:t>
            </w:r>
            <w:r>
              <w:t>other educators</w:t>
            </w:r>
            <w:r w:rsidRPr="004C2C1C">
              <w:t xml:space="preserve"> during the learning process</w:t>
            </w:r>
            <w:r>
              <w:t>?</w:t>
            </w:r>
          </w:p>
          <w:p w:rsidR="004C2C1C" w:rsidRDefault="004C2C1C" w:rsidP="004C2C1C"/>
          <w:p w:rsidR="004C2C1C" w:rsidRDefault="004C2C1C" w:rsidP="004C2C1C">
            <w:r>
              <w:t>Does th</w:t>
            </w:r>
            <w:r w:rsidR="006B0B31">
              <w:t>e</w:t>
            </w:r>
            <w:r>
              <w:t xml:space="preserve"> activity </w:t>
            </w:r>
            <w:r>
              <w:t xml:space="preserve">include </w:t>
            </w:r>
            <w:r w:rsidRPr="004C2C1C">
              <w:t>model</w:t>
            </w:r>
            <w:r>
              <w:t xml:space="preserve">ing of </w:t>
            </w:r>
            <w:r w:rsidRPr="004C2C1C">
              <w:t xml:space="preserve">skills and procedures </w:t>
            </w:r>
            <w:r>
              <w:t>or allow for simulated application experiences?</w:t>
            </w:r>
          </w:p>
          <w:p w:rsidR="004C2C1C" w:rsidRDefault="004C2C1C" w:rsidP="004C2C1C"/>
          <w:p w:rsidR="004C2C1C" w:rsidRDefault="004C2C1C" w:rsidP="006B0B31">
            <w:r>
              <w:t>Does th</w:t>
            </w:r>
            <w:r w:rsidR="006B0B31">
              <w:t>e</w:t>
            </w:r>
            <w:r>
              <w:t xml:space="preserve"> activity</w:t>
            </w:r>
            <w:r>
              <w:t xml:space="preserve"> enable educators to assess their application of the new learning and </w:t>
            </w:r>
            <w:r w:rsidR="006B0B31">
              <w:t>receive feedback from peers?</w:t>
            </w:r>
          </w:p>
          <w:p w:rsidR="00B27CE2" w:rsidRDefault="00B27CE2" w:rsidP="006B0B31"/>
          <w:p w:rsidR="00B27CE2" w:rsidRDefault="00B27CE2" w:rsidP="006B0B31"/>
          <w:p w:rsidR="00B27CE2" w:rsidRDefault="00B27CE2" w:rsidP="006B0B31"/>
          <w:p w:rsidR="00B27CE2" w:rsidRDefault="00B27CE2" w:rsidP="006B0B31"/>
          <w:p w:rsidR="00B27CE2" w:rsidRDefault="00B27CE2" w:rsidP="006B0B31"/>
          <w:p w:rsidR="00B27CE2" w:rsidRDefault="00B27CE2" w:rsidP="006B0B31"/>
          <w:p w:rsidR="00B27CE2" w:rsidRDefault="00B27CE2" w:rsidP="006B0B31"/>
          <w:p w:rsidR="00B27CE2" w:rsidRDefault="00B27CE2" w:rsidP="006B0B31"/>
        </w:tc>
        <w:tc>
          <w:tcPr>
            <w:tcW w:w="3958" w:type="dxa"/>
          </w:tcPr>
          <w:p w:rsidR="0085768D" w:rsidRDefault="0085768D" w:rsidP="00C12146"/>
        </w:tc>
        <w:tc>
          <w:tcPr>
            <w:tcW w:w="3959" w:type="dxa"/>
          </w:tcPr>
          <w:p w:rsidR="0085768D" w:rsidRDefault="0085768D" w:rsidP="00C12146"/>
        </w:tc>
      </w:tr>
    </w:tbl>
    <w:p w:rsidR="00B27CE2" w:rsidRDefault="00B27CE2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3958"/>
        <w:gridCol w:w="3958"/>
        <w:gridCol w:w="3959"/>
      </w:tblGrid>
      <w:tr w:rsidR="00B27CE2" w:rsidTr="00AA71C6">
        <w:trPr>
          <w:trHeight w:val="576"/>
        </w:trPr>
        <w:tc>
          <w:tcPr>
            <w:tcW w:w="14390" w:type="dxa"/>
            <w:gridSpan w:val="4"/>
            <w:shd w:val="clear" w:color="auto" w:fill="262A63"/>
            <w:vAlign w:val="center"/>
          </w:tcPr>
          <w:p w:rsidR="00B27CE2" w:rsidRPr="00925D61" w:rsidRDefault="00B27CE2" w:rsidP="00B27CE2">
            <w:pPr>
              <w:rPr>
                <w:b/>
                <w:sz w:val="28"/>
              </w:rPr>
            </w:pPr>
            <w:r w:rsidRPr="00925D61">
              <w:rPr>
                <w:b/>
                <w:sz w:val="28"/>
              </w:rPr>
              <w:lastRenderedPageBreak/>
              <w:t>Domain 2: Learning</w:t>
            </w:r>
          </w:p>
        </w:tc>
      </w:tr>
      <w:tr w:rsidR="00B27CE2" w:rsidRPr="0085768D" w:rsidTr="00AA71C6">
        <w:trPr>
          <w:trHeight w:val="720"/>
        </w:trPr>
        <w:tc>
          <w:tcPr>
            <w:tcW w:w="14390" w:type="dxa"/>
            <w:gridSpan w:val="4"/>
            <w:shd w:val="clear" w:color="auto" w:fill="3873AE"/>
            <w:vAlign w:val="center"/>
          </w:tcPr>
          <w:p w:rsidR="00B27CE2" w:rsidRPr="0085768D" w:rsidRDefault="00B27CE2" w:rsidP="00B27CE2">
            <w:pPr>
              <w:rPr>
                <w:color w:val="FFFFFF" w:themeColor="background1"/>
                <w:sz w:val="24"/>
              </w:rPr>
            </w:pPr>
            <w:r w:rsidRPr="00DF5CFD">
              <w:rPr>
                <w:b/>
                <w:color w:val="FFFFFF" w:themeColor="background1"/>
                <w:sz w:val="24"/>
              </w:rPr>
              <w:t>Standard 2.2: Learning Designs</w:t>
            </w:r>
            <w:r w:rsidRPr="00DF5CFD">
              <w:rPr>
                <w:color w:val="FFFFFF" w:themeColor="background1"/>
                <w:sz w:val="24"/>
              </w:rPr>
              <w:t xml:space="preserve"> </w:t>
            </w:r>
            <w:r>
              <w:rPr>
                <w:color w:val="FFFFFF" w:themeColor="background1"/>
                <w:sz w:val="24"/>
              </w:rPr>
              <w:t xml:space="preserve">– </w:t>
            </w:r>
            <w:r w:rsidRPr="0085768D">
              <w:rPr>
                <w:color w:val="FFFFFF" w:themeColor="background1"/>
                <w:sz w:val="24"/>
              </w:rPr>
              <w:t>Professional learning includes use of research- and evidence-based learning designs to continually improve educator practice and student outcomes.</w:t>
            </w:r>
          </w:p>
        </w:tc>
      </w:tr>
      <w:tr w:rsidR="00B27CE2" w:rsidTr="00AA71C6">
        <w:trPr>
          <w:trHeight w:val="720"/>
        </w:trPr>
        <w:tc>
          <w:tcPr>
            <w:tcW w:w="2515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>
              <w:rPr>
                <w:b/>
              </w:rPr>
              <w:t>Indicator</w:t>
            </w:r>
            <w:r w:rsidRPr="0085768D">
              <w:rPr>
                <w:b/>
              </w:rPr>
              <w:t xml:space="preserve"> </w:t>
            </w:r>
          </w:p>
          <w:p w:rsidR="00B27CE2" w:rsidRDefault="00B27CE2" w:rsidP="00B27CE2">
            <w:pPr>
              <w:jc w:val="center"/>
              <w:rPr>
                <w:i/>
                <w:sz w:val="16"/>
              </w:rPr>
            </w:pPr>
            <w:r w:rsidRPr="0085768D">
              <w:rPr>
                <w:i/>
                <w:sz w:val="16"/>
              </w:rPr>
              <w:t>(i.e., examples of the standard</w:t>
            </w:r>
          </w:p>
          <w:p w:rsidR="00B27CE2" w:rsidRPr="009A64ED" w:rsidRDefault="00B27CE2" w:rsidP="00B27CE2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 in practice</w:t>
            </w:r>
            <w:r w:rsidRPr="0085768D">
              <w:rPr>
                <w:i/>
                <w:sz w:val="16"/>
              </w:rPr>
              <w:t>)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>
              <w:rPr>
                <w:b/>
              </w:rPr>
              <w:t>Questions To Consider</w:t>
            </w:r>
          </w:p>
        </w:tc>
        <w:tc>
          <w:tcPr>
            <w:tcW w:w="3958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>
              <w:rPr>
                <w:b/>
              </w:rPr>
              <w:t>Current State</w:t>
            </w:r>
          </w:p>
        </w:tc>
        <w:tc>
          <w:tcPr>
            <w:tcW w:w="3959" w:type="dxa"/>
            <w:shd w:val="clear" w:color="auto" w:fill="EBD5A3"/>
            <w:vAlign w:val="center"/>
          </w:tcPr>
          <w:p w:rsidR="00B27CE2" w:rsidRPr="0085768D" w:rsidRDefault="00B27CE2" w:rsidP="00B27CE2">
            <w:pPr>
              <w:jc w:val="center"/>
              <w:rPr>
                <w:b/>
              </w:rPr>
            </w:pPr>
            <w:r w:rsidRPr="0085768D">
              <w:rPr>
                <w:b/>
              </w:rPr>
              <w:t>Potential Actions To Take</w:t>
            </w:r>
          </w:p>
        </w:tc>
      </w:tr>
      <w:tr w:rsidR="00925D61" w:rsidTr="008919CC">
        <w:tc>
          <w:tcPr>
            <w:tcW w:w="2515" w:type="dxa"/>
          </w:tcPr>
          <w:p w:rsidR="00925D61" w:rsidRPr="0085768D" w:rsidRDefault="00925D61" w:rsidP="00C12146">
            <w:r w:rsidRPr="00925D61">
              <w:t>Engaging in a shared cycle of inquiry, action, research, data analysis, planning, implementation, reflection, and evaluation that drives continuous impr</w:t>
            </w:r>
            <w:bookmarkStart w:id="0" w:name="_GoBack"/>
            <w:bookmarkEnd w:id="0"/>
            <w:r w:rsidRPr="00925D61">
              <w:t>ovement (e.g., learning communities, Lesson Study, online networks, coaching, mentoring)</w:t>
            </w:r>
          </w:p>
        </w:tc>
        <w:tc>
          <w:tcPr>
            <w:tcW w:w="3958" w:type="dxa"/>
          </w:tcPr>
          <w:p w:rsidR="00925D61" w:rsidRDefault="00B10A1B" w:rsidP="00C12146">
            <w:r>
              <w:t>Does the activity explicitly utilize a cycle of continuous improvement to further learning?</w:t>
            </w:r>
          </w:p>
          <w:p w:rsidR="00B10A1B" w:rsidRDefault="00B10A1B" w:rsidP="00C12146"/>
          <w:p w:rsidR="00B10A1B" w:rsidRDefault="00B10A1B" w:rsidP="00B10A1B">
            <w:r>
              <w:t>Elements of a cycle of continuous improvement include the following:</w:t>
            </w:r>
          </w:p>
          <w:p w:rsidR="00B10A1B" w:rsidRDefault="00B10A1B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U</w:t>
            </w:r>
            <w:r>
              <w:t>se of data to determine student and educator learning needs;</w:t>
            </w:r>
          </w:p>
          <w:p w:rsidR="00B10A1B" w:rsidRDefault="00B10A1B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Identification of shared goals for student and educator learning;</w:t>
            </w:r>
          </w:p>
          <w:p w:rsidR="00B10A1B" w:rsidRDefault="00357861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Engagement in l</w:t>
            </w:r>
            <w:r w:rsidR="00B10A1B">
              <w:t>earning</w:t>
            </w:r>
            <w:r>
              <w:t xml:space="preserve"> activities</w:t>
            </w:r>
            <w:r w:rsidR="00B10A1B">
              <w:t xml:space="preserve"> to extend educators' knowledge of content, content-specific pedagogy, how students learn, and management of classroom environments;</w:t>
            </w:r>
          </w:p>
          <w:p w:rsidR="00B10A1B" w:rsidRDefault="00B10A1B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Selection and implementation of appropriate evidence-based strategies to achieve student and educator learning goals;</w:t>
            </w:r>
          </w:p>
          <w:p w:rsidR="00B10A1B" w:rsidRDefault="00B10A1B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 xml:space="preserve">Application of the learning </w:t>
            </w:r>
            <w:r w:rsidR="00357861">
              <w:t xml:space="preserve">in the classroom </w:t>
            </w:r>
            <w:r>
              <w:t xml:space="preserve">with </w:t>
            </w:r>
            <w:r w:rsidR="00357861">
              <w:t>support</w:t>
            </w:r>
            <w:r>
              <w:t>;</w:t>
            </w:r>
          </w:p>
          <w:p w:rsidR="00B10A1B" w:rsidRDefault="00B10A1B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Use of evidence to monitor and refine implementation; and</w:t>
            </w:r>
          </w:p>
          <w:p w:rsidR="00B10A1B" w:rsidRDefault="00B10A1B" w:rsidP="00B10A1B">
            <w:pPr>
              <w:pStyle w:val="ListParagraph"/>
              <w:numPr>
                <w:ilvl w:val="0"/>
                <w:numId w:val="2"/>
              </w:numPr>
              <w:ind w:left="252" w:hanging="162"/>
            </w:pPr>
            <w:r>
              <w:t>Evaluation of results.</w:t>
            </w:r>
          </w:p>
          <w:p w:rsidR="00B10A1B" w:rsidRDefault="00B10A1B" w:rsidP="00C12146"/>
          <w:p w:rsidR="00B27CE2" w:rsidRDefault="00B27CE2" w:rsidP="00C12146"/>
          <w:p w:rsidR="00B27CE2" w:rsidRDefault="00B27CE2" w:rsidP="00C12146"/>
          <w:p w:rsidR="00B27CE2" w:rsidRDefault="00B27CE2" w:rsidP="00C12146"/>
          <w:p w:rsidR="00B27CE2" w:rsidRDefault="00B27CE2" w:rsidP="00C12146"/>
          <w:p w:rsidR="00B27CE2" w:rsidRDefault="00B27CE2" w:rsidP="00C12146"/>
        </w:tc>
        <w:tc>
          <w:tcPr>
            <w:tcW w:w="3958" w:type="dxa"/>
          </w:tcPr>
          <w:p w:rsidR="00925D61" w:rsidRDefault="00925D61" w:rsidP="00C12146"/>
        </w:tc>
        <w:tc>
          <w:tcPr>
            <w:tcW w:w="3959" w:type="dxa"/>
          </w:tcPr>
          <w:p w:rsidR="00925D61" w:rsidRDefault="00925D61" w:rsidP="00C12146"/>
        </w:tc>
      </w:tr>
    </w:tbl>
    <w:p w:rsidR="00E914A8" w:rsidRDefault="00E914A8"/>
    <w:sectPr w:rsidR="00E914A8" w:rsidSect="00B27CE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46" w:rsidRDefault="00C12146" w:rsidP="00C12146">
      <w:pPr>
        <w:spacing w:after="0" w:line="240" w:lineRule="auto"/>
      </w:pPr>
      <w:r>
        <w:separator/>
      </w:r>
    </w:p>
  </w:endnote>
  <w:endnote w:type="continuationSeparator" w:id="0">
    <w:p w:rsidR="00C12146" w:rsidRDefault="00C12146" w:rsidP="00C1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E2" w:rsidRPr="00B27CE2" w:rsidRDefault="00B27CE2" w:rsidP="00B27CE2">
    <w:pPr>
      <w:pStyle w:val="Footer"/>
      <w:tabs>
        <w:tab w:val="clear" w:pos="4680"/>
        <w:tab w:val="clear" w:pos="9360"/>
        <w:tab w:val="right" w:pos="14400"/>
      </w:tabs>
      <w:rPr>
        <w:rFonts w:asciiTheme="majorHAnsi" w:hAnsiTheme="majorHAnsi"/>
        <w:color w:val="262A63"/>
      </w:rPr>
    </w:pPr>
    <w:r>
      <w:rPr>
        <w:rFonts w:asciiTheme="majorHAnsi" w:hAnsiTheme="majorHAnsi"/>
        <w:color w:val="262A63"/>
      </w:rPr>
      <w:t>Bureau of Educator Recruitment, Development, and Retention</w:t>
    </w:r>
    <w:r>
      <w:rPr>
        <w:rFonts w:asciiTheme="majorHAnsi" w:hAnsiTheme="majorHAnsi"/>
        <w:color w:val="262A63"/>
      </w:rPr>
      <w:tab/>
    </w:r>
    <w:r w:rsidRPr="00B27CE2">
      <w:rPr>
        <w:rFonts w:asciiTheme="majorHAnsi" w:hAnsiTheme="majorHAnsi"/>
        <w:color w:val="262A63"/>
      </w:rPr>
      <w:t xml:space="preserve">Page </w:t>
    </w:r>
    <w:r w:rsidRPr="00B27CE2">
      <w:rPr>
        <w:rFonts w:asciiTheme="majorHAnsi" w:hAnsiTheme="majorHAnsi"/>
        <w:color w:val="262A63"/>
      </w:rPr>
      <w:fldChar w:fldCharType="begin"/>
    </w:r>
    <w:r w:rsidRPr="00B27CE2">
      <w:rPr>
        <w:rFonts w:asciiTheme="majorHAnsi" w:hAnsiTheme="majorHAnsi"/>
        <w:color w:val="262A63"/>
      </w:rPr>
      <w:instrText xml:space="preserve"> PAGE   \* MERGEFORMAT </w:instrText>
    </w:r>
    <w:r w:rsidRPr="00B27CE2">
      <w:rPr>
        <w:rFonts w:asciiTheme="majorHAnsi" w:hAnsiTheme="majorHAnsi"/>
        <w:color w:val="262A63"/>
      </w:rPr>
      <w:fldChar w:fldCharType="separate"/>
    </w:r>
    <w:r w:rsidR="005F706C">
      <w:rPr>
        <w:rFonts w:asciiTheme="majorHAnsi" w:hAnsiTheme="majorHAnsi"/>
        <w:noProof/>
        <w:color w:val="262A63"/>
      </w:rPr>
      <w:t>4</w:t>
    </w:r>
    <w:r w:rsidRPr="00B27CE2">
      <w:rPr>
        <w:rFonts w:asciiTheme="majorHAnsi" w:hAnsiTheme="majorHAnsi"/>
        <w:noProof/>
        <w:color w:val="262A6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E2" w:rsidRPr="00B27CE2" w:rsidRDefault="00B27CE2" w:rsidP="00B27CE2">
    <w:pPr>
      <w:pStyle w:val="Footer"/>
      <w:tabs>
        <w:tab w:val="clear" w:pos="4680"/>
        <w:tab w:val="clear" w:pos="9360"/>
        <w:tab w:val="right" w:pos="14400"/>
      </w:tabs>
      <w:rPr>
        <w:rFonts w:asciiTheme="majorHAnsi" w:hAnsiTheme="majorHAnsi"/>
        <w:color w:val="262A63"/>
      </w:rPr>
    </w:pPr>
    <w:r>
      <w:rPr>
        <w:rFonts w:asciiTheme="majorHAnsi" w:hAnsiTheme="majorHAnsi"/>
        <w:color w:val="262A63"/>
      </w:rPr>
      <w:t>Bureau of Educator Recruitment, Development, and Retention</w:t>
    </w:r>
    <w:r>
      <w:rPr>
        <w:rFonts w:asciiTheme="majorHAnsi" w:hAnsiTheme="majorHAnsi"/>
        <w:color w:val="262A63"/>
      </w:rPr>
      <w:tab/>
    </w:r>
    <w:r w:rsidRPr="00B27CE2">
      <w:rPr>
        <w:rFonts w:asciiTheme="majorHAnsi" w:hAnsiTheme="majorHAnsi"/>
        <w:color w:val="262A63"/>
      </w:rPr>
      <w:t xml:space="preserve">Page </w:t>
    </w:r>
    <w:r w:rsidRPr="00B27CE2">
      <w:rPr>
        <w:rFonts w:asciiTheme="majorHAnsi" w:hAnsiTheme="majorHAnsi"/>
        <w:color w:val="262A63"/>
      </w:rPr>
      <w:fldChar w:fldCharType="begin"/>
    </w:r>
    <w:r w:rsidRPr="00B27CE2">
      <w:rPr>
        <w:rFonts w:asciiTheme="majorHAnsi" w:hAnsiTheme="majorHAnsi"/>
        <w:color w:val="262A63"/>
      </w:rPr>
      <w:instrText xml:space="preserve"> PAGE   \* MERGEFORMAT </w:instrText>
    </w:r>
    <w:r w:rsidRPr="00B27CE2">
      <w:rPr>
        <w:rFonts w:asciiTheme="majorHAnsi" w:hAnsiTheme="majorHAnsi"/>
        <w:color w:val="262A63"/>
      </w:rPr>
      <w:fldChar w:fldCharType="separate"/>
    </w:r>
    <w:r w:rsidR="005F706C">
      <w:rPr>
        <w:rFonts w:asciiTheme="majorHAnsi" w:hAnsiTheme="majorHAnsi"/>
        <w:noProof/>
        <w:color w:val="262A63"/>
      </w:rPr>
      <w:t>1</w:t>
    </w:r>
    <w:r w:rsidRPr="00B27CE2">
      <w:rPr>
        <w:rFonts w:asciiTheme="majorHAnsi" w:hAnsiTheme="majorHAnsi"/>
        <w:noProof/>
        <w:color w:val="262A6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46" w:rsidRDefault="00C12146" w:rsidP="00C12146">
      <w:pPr>
        <w:spacing w:after="0" w:line="240" w:lineRule="auto"/>
      </w:pPr>
      <w:r>
        <w:separator/>
      </w:r>
    </w:p>
  </w:footnote>
  <w:footnote w:type="continuationSeparator" w:id="0">
    <w:p w:rsidR="00C12146" w:rsidRDefault="00C12146" w:rsidP="00C1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46" w:rsidRDefault="00C12146" w:rsidP="00C12146">
    <w:pPr>
      <w:pStyle w:val="Header"/>
      <w:jc w:val="center"/>
      <w:rPr>
        <w:rFonts w:asciiTheme="majorHAnsi" w:hAnsiTheme="majorHAnsi"/>
        <w:b/>
        <w:color w:val="262A63"/>
        <w:sz w:val="24"/>
      </w:rPr>
    </w:pPr>
    <w:r w:rsidRPr="00C12146">
      <w:rPr>
        <w:rFonts w:asciiTheme="majorHAnsi" w:hAnsiTheme="majorHAnsi"/>
        <w:b/>
        <w:color w:val="262A63"/>
        <w:sz w:val="24"/>
      </w:rPr>
      <w:t>Professional Learning Standards</w:t>
    </w:r>
    <w:r>
      <w:rPr>
        <w:rFonts w:asciiTheme="majorHAnsi" w:hAnsiTheme="majorHAnsi"/>
        <w:b/>
        <w:color w:val="262A63"/>
        <w:sz w:val="24"/>
      </w:rPr>
      <w:t>:</w:t>
    </w:r>
    <w:r w:rsidRPr="00C12146">
      <w:rPr>
        <w:rFonts w:asciiTheme="majorHAnsi" w:hAnsiTheme="majorHAnsi"/>
        <w:b/>
        <w:color w:val="262A63"/>
        <w:sz w:val="24"/>
      </w:rPr>
      <w:t xml:space="preserve"> Gap Analysis</w:t>
    </w:r>
  </w:p>
  <w:p w:rsidR="00C12146" w:rsidRPr="00C12146" w:rsidRDefault="00C12146" w:rsidP="00C12146">
    <w:pPr>
      <w:pStyle w:val="Header"/>
      <w:jc w:val="center"/>
      <w:rPr>
        <w:rFonts w:asciiTheme="majorHAnsi" w:hAnsiTheme="majorHAnsi"/>
        <w:b/>
        <w:color w:val="262A63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89B"/>
    <w:multiLevelType w:val="hybridMultilevel"/>
    <w:tmpl w:val="92BCA1F2"/>
    <w:lvl w:ilvl="0" w:tplc="33547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AC9"/>
    <w:multiLevelType w:val="hybridMultilevel"/>
    <w:tmpl w:val="6F7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ED"/>
    <w:rsid w:val="002A7149"/>
    <w:rsid w:val="00357861"/>
    <w:rsid w:val="004C2C1C"/>
    <w:rsid w:val="005F706C"/>
    <w:rsid w:val="006B0B31"/>
    <w:rsid w:val="00757954"/>
    <w:rsid w:val="00777497"/>
    <w:rsid w:val="0085768D"/>
    <w:rsid w:val="008919CC"/>
    <w:rsid w:val="00925D61"/>
    <w:rsid w:val="009A64ED"/>
    <w:rsid w:val="00AB03ED"/>
    <w:rsid w:val="00B10A1B"/>
    <w:rsid w:val="00B27CE2"/>
    <w:rsid w:val="00C12146"/>
    <w:rsid w:val="00D81C42"/>
    <w:rsid w:val="00DF5CFD"/>
    <w:rsid w:val="00E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8E2B9-079A-4038-B075-4452862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9"/>
  </w:style>
  <w:style w:type="paragraph" w:styleId="Heading1">
    <w:name w:val="heading 1"/>
    <w:basedOn w:val="Normal"/>
    <w:next w:val="Normal"/>
    <w:link w:val="Heading1Char"/>
    <w:uiPriority w:val="9"/>
    <w:qFormat/>
    <w:rsid w:val="00D81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C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C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C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C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C4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C42"/>
    <w:rPr>
      <w:b/>
      <w:bCs/>
    </w:rPr>
  </w:style>
  <w:style w:type="character" w:styleId="Emphasis">
    <w:name w:val="Emphasis"/>
    <w:basedOn w:val="DefaultParagraphFont"/>
    <w:uiPriority w:val="20"/>
    <w:qFormat/>
    <w:rsid w:val="00D81C42"/>
    <w:rPr>
      <w:i/>
      <w:iCs/>
    </w:rPr>
  </w:style>
  <w:style w:type="paragraph" w:styleId="NoSpacing">
    <w:name w:val="No Spacing"/>
    <w:uiPriority w:val="1"/>
    <w:qFormat/>
    <w:rsid w:val="00D81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C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C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C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C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C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C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C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C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C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C42"/>
    <w:pPr>
      <w:outlineLvl w:val="9"/>
    </w:pPr>
  </w:style>
  <w:style w:type="table" w:styleId="TableGrid">
    <w:name w:val="Table Grid"/>
    <w:basedOn w:val="TableNormal"/>
    <w:uiPriority w:val="39"/>
    <w:rsid w:val="009A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46"/>
  </w:style>
  <w:style w:type="paragraph" w:styleId="Footer">
    <w:name w:val="footer"/>
    <w:basedOn w:val="Normal"/>
    <w:link w:val="FooterChar"/>
    <w:uiPriority w:val="99"/>
    <w:unhideWhenUsed/>
    <w:rsid w:val="00C1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46"/>
  </w:style>
  <w:style w:type="paragraph" w:styleId="BalloonText">
    <w:name w:val="Balloon Text"/>
    <w:basedOn w:val="Normal"/>
    <w:link w:val="BalloonTextChar"/>
    <w:uiPriority w:val="99"/>
    <w:semiHidden/>
    <w:unhideWhenUsed/>
    <w:rsid w:val="005F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Jenna</dc:creator>
  <cp:keywords/>
  <dc:description/>
  <cp:lastModifiedBy>Evans, Jenna</cp:lastModifiedBy>
  <cp:revision>2</cp:revision>
  <cp:lastPrinted>2019-05-09T20:46:00Z</cp:lastPrinted>
  <dcterms:created xsi:type="dcterms:W3CDTF">2019-05-09T18:16:00Z</dcterms:created>
  <dcterms:modified xsi:type="dcterms:W3CDTF">2019-05-09T20:46:00Z</dcterms:modified>
</cp:coreProperties>
</file>