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6A70" w14:textId="2EF179B3" w:rsidR="00E05826" w:rsidRDefault="004F62AF">
      <w:r>
        <w:t>Crosswalk</w:t>
      </w:r>
      <w:r>
        <w:t xml:space="preserve">: </w:t>
      </w:r>
      <w:r w:rsidR="00E05826">
        <w:t xml:space="preserve">SWP Requirements of Section 1114 &amp; SIP </w:t>
      </w:r>
    </w:p>
    <w:p w14:paraId="7F1CD206" w14:textId="77777777" w:rsidR="00E05826" w:rsidRDefault="00E05826"/>
    <w:tbl>
      <w:tblPr>
        <w:tblStyle w:val="TableGrid"/>
        <w:tblW w:w="10435" w:type="dxa"/>
        <w:tblInd w:w="-365" w:type="dxa"/>
        <w:tblLook w:val="04A0" w:firstRow="1" w:lastRow="0" w:firstColumn="1" w:lastColumn="0" w:noHBand="0" w:noVBand="1"/>
      </w:tblPr>
      <w:tblGrid>
        <w:gridCol w:w="540"/>
        <w:gridCol w:w="7181"/>
        <w:gridCol w:w="2714"/>
      </w:tblGrid>
      <w:tr w:rsidR="005F3AA5" w:rsidRPr="004F62AF" w14:paraId="58177F1D" w14:textId="77777777" w:rsidTr="00A8487E">
        <w:tc>
          <w:tcPr>
            <w:tcW w:w="540" w:type="dxa"/>
          </w:tcPr>
          <w:p w14:paraId="3CE9405E" w14:textId="77777777" w:rsidR="005F3AA5" w:rsidRDefault="005F3AA5" w:rsidP="004F62A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DEEAF6" w:themeFill="accent5" w:themeFillTint="33"/>
          </w:tcPr>
          <w:p w14:paraId="76D25DC8" w14:textId="1EE7C7D0" w:rsidR="005F3AA5" w:rsidRPr="00A8487E" w:rsidRDefault="005F3AA5" w:rsidP="00A848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8487E">
              <w:rPr>
                <w:rFonts w:cstheme="minorHAnsi"/>
                <w:b/>
                <w:bCs/>
              </w:rPr>
              <w:t>Schoolwide Plan Requirement</w:t>
            </w:r>
          </w:p>
        </w:tc>
        <w:tc>
          <w:tcPr>
            <w:tcW w:w="2714" w:type="dxa"/>
            <w:shd w:val="clear" w:color="auto" w:fill="DEEAF6" w:themeFill="accent5" w:themeFillTint="33"/>
          </w:tcPr>
          <w:p w14:paraId="7F64C647" w14:textId="235BDECA" w:rsidR="005F3AA5" w:rsidRPr="00A8487E" w:rsidRDefault="005F3AA5" w:rsidP="00A8487E">
            <w:pPr>
              <w:jc w:val="center"/>
              <w:rPr>
                <w:rFonts w:cstheme="minorHAnsi"/>
                <w:b/>
                <w:bCs/>
              </w:rPr>
            </w:pPr>
            <w:r w:rsidRPr="00A8487E">
              <w:rPr>
                <w:rFonts w:cstheme="minorHAnsi"/>
                <w:b/>
                <w:bCs/>
              </w:rPr>
              <w:t>School Improvement Plan Component</w:t>
            </w:r>
          </w:p>
        </w:tc>
      </w:tr>
      <w:tr w:rsidR="00605F65" w:rsidRPr="004F62AF" w14:paraId="313FC77A" w14:textId="77777777" w:rsidTr="00A8487E">
        <w:tc>
          <w:tcPr>
            <w:tcW w:w="54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A5D3425" w14:textId="4C07A504" w:rsidR="00605F65" w:rsidRPr="004F62AF" w:rsidRDefault="00605F65" w:rsidP="00605F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</w:rPr>
            </w:pPr>
            <w:r w:rsidRPr="00605F65">
              <w:rPr>
                <w:rFonts w:cstheme="minorHAnsi"/>
                <w:sz w:val="24"/>
                <w:szCs w:val="24"/>
              </w:rPr>
              <w:t>Development Requirements</w:t>
            </w:r>
            <w:r>
              <w:rPr>
                <w:rFonts w:cstheme="minorHAnsi"/>
                <w:sz w:val="24"/>
                <w:szCs w:val="24"/>
              </w:rPr>
              <w:t xml:space="preserve"> of the SWP</w:t>
            </w:r>
          </w:p>
        </w:tc>
        <w:tc>
          <w:tcPr>
            <w:tcW w:w="7181" w:type="dxa"/>
            <w:shd w:val="clear" w:color="auto" w:fill="auto"/>
          </w:tcPr>
          <w:p w14:paraId="0450BE41" w14:textId="5B572CC4" w:rsidR="00605F65" w:rsidRPr="004F62AF" w:rsidRDefault="00605F65" w:rsidP="004F62A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1114(b)(1) is </w:t>
            </w:r>
            <w:r w:rsidRPr="005F3AA5">
              <w:rPr>
                <w:rFonts w:cstheme="minorHAnsi"/>
                <w:b/>
                <w:bCs/>
              </w:rPr>
              <w:t>developed during a 1-year period</w:t>
            </w:r>
            <w:r w:rsidRPr="004F62AF">
              <w:rPr>
                <w:rFonts w:cstheme="minorHAnsi"/>
              </w:rPr>
              <w:t>, unless—</w:t>
            </w:r>
          </w:p>
          <w:p w14:paraId="5B27DCC4" w14:textId="608FBA95" w:rsidR="00605F65" w:rsidRPr="004F62AF" w:rsidRDefault="00605F65" w:rsidP="00AE6D98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4F62AF">
              <w:rPr>
                <w:rFonts w:cstheme="minorHAnsi"/>
              </w:rPr>
              <w:t>(A) the local educational agency determines, in consultation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with the school, that less time is needed to develop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and implement the schoolwide program; or</w:t>
            </w:r>
          </w:p>
          <w:p w14:paraId="7EF56748" w14:textId="4F2D1F47" w:rsidR="00605F65" w:rsidRPr="004F62AF" w:rsidRDefault="00605F65" w:rsidP="00AE6D98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4F62AF">
              <w:rPr>
                <w:rFonts w:cstheme="minorHAnsi"/>
              </w:rPr>
              <w:t>(B) the school is operating a schoolwide program 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the day before the date of the enactment of </w:t>
            </w:r>
            <w:proofErr w:type="gramStart"/>
            <w:r w:rsidRPr="004F62AF">
              <w:rPr>
                <w:rFonts w:cstheme="minorHAnsi"/>
              </w:rPr>
              <w:t>the Every</w:t>
            </w:r>
            <w:proofErr w:type="gramEnd"/>
            <w:r w:rsidRPr="004F62AF">
              <w:rPr>
                <w:rFonts w:cstheme="minorHAnsi"/>
              </w:rPr>
              <w:t xml:space="preserve"> Student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Succeeds Act, in which case such school may continue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to operate such program, but shall develop amendments to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its existing plan during the first year of assistance after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that date to reflect the provisions of this section;</w:t>
            </w:r>
          </w:p>
        </w:tc>
        <w:tc>
          <w:tcPr>
            <w:tcW w:w="2714" w:type="dxa"/>
          </w:tcPr>
          <w:p w14:paraId="27884159" w14:textId="77777777" w:rsidR="00605F65" w:rsidRPr="004F62AF" w:rsidRDefault="00605F65">
            <w:pPr>
              <w:rPr>
                <w:rFonts w:cstheme="minorHAnsi"/>
              </w:rPr>
            </w:pPr>
          </w:p>
        </w:tc>
      </w:tr>
      <w:tr w:rsidR="00605F65" w:rsidRPr="004F62AF" w14:paraId="5FEBC3BD" w14:textId="77777777" w:rsidTr="00A8487E">
        <w:tc>
          <w:tcPr>
            <w:tcW w:w="540" w:type="dxa"/>
            <w:vMerge/>
            <w:shd w:val="clear" w:color="auto" w:fill="E7E6E6" w:themeFill="background2"/>
          </w:tcPr>
          <w:p w14:paraId="18145AD3" w14:textId="77777777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5552CE20" w14:textId="24A63A39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1114(b)(2) is developed with the </w:t>
            </w:r>
            <w:r w:rsidRPr="005F3AA5">
              <w:rPr>
                <w:rFonts w:cstheme="minorHAnsi"/>
                <w:b/>
                <w:bCs/>
              </w:rPr>
              <w:t>involvement of parents and other</w:t>
            </w:r>
            <w:r w:rsidRPr="005F3AA5">
              <w:rPr>
                <w:rFonts w:cstheme="minorHAnsi"/>
                <w:b/>
                <w:bCs/>
              </w:rPr>
              <w:t xml:space="preserve"> </w:t>
            </w:r>
            <w:r w:rsidRPr="005F3AA5">
              <w:rPr>
                <w:rFonts w:cstheme="minorHAnsi"/>
                <w:b/>
                <w:bCs/>
              </w:rPr>
              <w:t>members of the community</w:t>
            </w:r>
            <w:r w:rsidRPr="004F62AF">
              <w:rPr>
                <w:rFonts w:cstheme="minorHAnsi"/>
              </w:rPr>
              <w:t xml:space="preserve"> to be served </w:t>
            </w:r>
            <w:r w:rsidRPr="005F3AA5">
              <w:rPr>
                <w:rFonts w:cstheme="minorHAnsi"/>
                <w:b/>
                <w:bCs/>
              </w:rPr>
              <w:t>and individuals who</w:t>
            </w:r>
            <w:r w:rsidRPr="005F3AA5">
              <w:rPr>
                <w:rFonts w:cstheme="minorHAnsi"/>
                <w:b/>
                <w:bCs/>
              </w:rPr>
              <w:t xml:space="preserve"> </w:t>
            </w:r>
            <w:r w:rsidRPr="005F3AA5">
              <w:rPr>
                <w:rFonts w:cstheme="minorHAnsi"/>
                <w:b/>
                <w:bCs/>
              </w:rPr>
              <w:t>will carry out such plan</w:t>
            </w:r>
            <w:r w:rsidRPr="004F62AF">
              <w:rPr>
                <w:rFonts w:cstheme="minorHAnsi"/>
              </w:rPr>
              <w:t>, including teachers, principals, other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school leaders, paraprofessionals present in the school, administrators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(including administrators of programs described in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other parts of this title), the local educational agency, to the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extent feasible, tribes and tribal organizations present in the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community, and, if appropriate, specialized instructional support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personnel, technical assistance providers, school staff, if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the plan relates to a secondary school, students, and other individuals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determined by the school;</w:t>
            </w:r>
          </w:p>
        </w:tc>
        <w:tc>
          <w:tcPr>
            <w:tcW w:w="2714" w:type="dxa"/>
          </w:tcPr>
          <w:p w14:paraId="64BA7372" w14:textId="3D629AE8" w:rsidR="00605F65" w:rsidRPr="004F62AF" w:rsidRDefault="005E3566">
            <w:pPr>
              <w:rPr>
                <w:rFonts w:cstheme="minorHAnsi"/>
              </w:rPr>
            </w:pPr>
            <w:r>
              <w:rPr>
                <w:rFonts w:cstheme="minorHAnsi"/>
              </w:rPr>
              <w:t>Rule 6A-1.099811(2)(x): The SIP is developed by school leadership, district, and SAC.</w:t>
            </w:r>
          </w:p>
        </w:tc>
      </w:tr>
      <w:tr w:rsidR="00605F65" w:rsidRPr="004F62AF" w14:paraId="7BC9C02C" w14:textId="77777777" w:rsidTr="00A8487E">
        <w:tc>
          <w:tcPr>
            <w:tcW w:w="540" w:type="dxa"/>
            <w:vMerge/>
            <w:shd w:val="clear" w:color="auto" w:fill="E7E6E6" w:themeFill="background2"/>
          </w:tcPr>
          <w:p w14:paraId="2619F141" w14:textId="77777777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7165F771" w14:textId="5FED1A61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1114(b)(3) </w:t>
            </w:r>
            <w:r w:rsidRPr="005F3AA5">
              <w:rPr>
                <w:rFonts w:cstheme="minorHAnsi"/>
                <w:b/>
                <w:bCs/>
              </w:rPr>
              <w:t>remains in effect for the duration</w:t>
            </w:r>
            <w:r w:rsidRPr="004F62AF">
              <w:rPr>
                <w:rFonts w:cstheme="minorHAnsi"/>
              </w:rPr>
              <w:t xml:space="preserve"> of the school’s participation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under this part, except that the plan and its implementation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shall be </w:t>
            </w:r>
            <w:r w:rsidRPr="005F3AA5">
              <w:rPr>
                <w:rFonts w:cstheme="minorHAnsi"/>
                <w:b/>
                <w:bCs/>
              </w:rPr>
              <w:t>regularly monitored and revised</w:t>
            </w:r>
            <w:r w:rsidRPr="004F62AF">
              <w:rPr>
                <w:rFonts w:cstheme="minorHAnsi"/>
              </w:rPr>
              <w:t xml:space="preserve"> as necessary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based on student needs to ensure that all students are provided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opportunities to meet the challenging State academic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standards;</w:t>
            </w:r>
          </w:p>
        </w:tc>
        <w:tc>
          <w:tcPr>
            <w:tcW w:w="2714" w:type="dxa"/>
          </w:tcPr>
          <w:p w14:paraId="6FD28F20" w14:textId="2FDC009A" w:rsidR="005E3566" w:rsidRPr="004F62AF" w:rsidRDefault="005E3566">
            <w:pPr>
              <w:rPr>
                <w:rFonts w:cstheme="minorHAnsi"/>
              </w:rPr>
            </w:pPr>
          </w:p>
        </w:tc>
      </w:tr>
      <w:tr w:rsidR="00605F65" w:rsidRPr="004F62AF" w14:paraId="487B2B28" w14:textId="77777777" w:rsidTr="00A8487E">
        <w:tc>
          <w:tcPr>
            <w:tcW w:w="540" w:type="dxa"/>
            <w:vMerge/>
            <w:shd w:val="clear" w:color="auto" w:fill="E7E6E6" w:themeFill="background2"/>
          </w:tcPr>
          <w:p w14:paraId="27C42478" w14:textId="77777777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40968327" w14:textId="4C49014F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1114(b)(4) </w:t>
            </w:r>
            <w:r w:rsidRPr="005F3AA5">
              <w:rPr>
                <w:rFonts w:cstheme="minorHAnsi"/>
                <w:b/>
                <w:bCs/>
              </w:rPr>
              <w:t>is available to the local educational agency, parents,</w:t>
            </w:r>
            <w:r w:rsidRPr="005F3AA5">
              <w:rPr>
                <w:rFonts w:cstheme="minorHAnsi"/>
                <w:b/>
                <w:bCs/>
              </w:rPr>
              <w:t xml:space="preserve"> </w:t>
            </w:r>
            <w:r w:rsidRPr="005F3AA5">
              <w:rPr>
                <w:rFonts w:cstheme="minorHAnsi"/>
                <w:b/>
                <w:bCs/>
              </w:rPr>
              <w:t>and the public</w:t>
            </w:r>
            <w:r w:rsidRPr="004F62AF">
              <w:rPr>
                <w:rFonts w:cstheme="minorHAnsi"/>
              </w:rPr>
              <w:t>, and the information contained in such plan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shall be in an understandable and uniform format and, to the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extent practicable, provided in a language that the parents can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understand; and</w:t>
            </w:r>
          </w:p>
        </w:tc>
        <w:tc>
          <w:tcPr>
            <w:tcW w:w="2714" w:type="dxa"/>
          </w:tcPr>
          <w:p w14:paraId="69324482" w14:textId="47B002F7" w:rsidR="00605F65" w:rsidRPr="004F62AF" w:rsidRDefault="00605F65">
            <w:pPr>
              <w:rPr>
                <w:rFonts w:cstheme="minorHAnsi"/>
              </w:rPr>
            </w:pPr>
          </w:p>
        </w:tc>
      </w:tr>
      <w:tr w:rsidR="00605F65" w:rsidRPr="004F62AF" w14:paraId="7A3AC02C" w14:textId="77777777" w:rsidTr="00A8487E">
        <w:tc>
          <w:tcPr>
            <w:tcW w:w="540" w:type="dxa"/>
            <w:vMerge/>
            <w:shd w:val="clear" w:color="auto" w:fill="E7E6E6" w:themeFill="background2"/>
          </w:tcPr>
          <w:p w14:paraId="68E2A2C4" w14:textId="77777777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014F3D32" w14:textId="2AB7D13C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1114(b)(5) if appropriate and applicable, is </w:t>
            </w:r>
            <w:r w:rsidRPr="005F3AA5">
              <w:rPr>
                <w:rFonts w:cstheme="minorHAnsi"/>
                <w:b/>
                <w:bCs/>
              </w:rPr>
              <w:t>developed in coordination</w:t>
            </w:r>
            <w:r w:rsidRPr="005F3AA5">
              <w:rPr>
                <w:rFonts w:cstheme="minorHAnsi"/>
                <w:b/>
                <w:bCs/>
              </w:rPr>
              <w:t xml:space="preserve"> </w:t>
            </w:r>
            <w:r w:rsidRPr="005F3AA5">
              <w:rPr>
                <w:rFonts w:cstheme="minorHAnsi"/>
                <w:b/>
                <w:bCs/>
              </w:rPr>
              <w:t>and integration with other Federal, State, and local services,</w:t>
            </w:r>
            <w:r w:rsidRPr="005F3AA5">
              <w:rPr>
                <w:rFonts w:cstheme="minorHAnsi"/>
                <w:b/>
                <w:bCs/>
              </w:rPr>
              <w:t xml:space="preserve"> </w:t>
            </w:r>
            <w:r w:rsidRPr="005F3AA5">
              <w:rPr>
                <w:rFonts w:cstheme="minorHAnsi"/>
                <w:b/>
                <w:bCs/>
              </w:rPr>
              <w:t>resources, and programs</w:t>
            </w:r>
            <w:r w:rsidRPr="004F62AF">
              <w:rPr>
                <w:rFonts w:cstheme="minorHAnsi"/>
              </w:rPr>
              <w:t>, such as programs supported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under this Act, violence prevention programs, nutrition programs,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housing programs, Head Start programs, adult education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programs, career and technical education programs, and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schools implementing comprehensive support and improvement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activities or targeted support and improvement activities under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section 1111(d);</w:t>
            </w:r>
          </w:p>
        </w:tc>
        <w:tc>
          <w:tcPr>
            <w:tcW w:w="2714" w:type="dxa"/>
          </w:tcPr>
          <w:p w14:paraId="57EB5578" w14:textId="77777777" w:rsidR="00605F65" w:rsidRPr="004F62AF" w:rsidRDefault="00605F65">
            <w:pPr>
              <w:rPr>
                <w:rFonts w:cstheme="minorHAnsi"/>
              </w:rPr>
            </w:pPr>
          </w:p>
        </w:tc>
      </w:tr>
      <w:tr w:rsidR="00605F65" w:rsidRPr="004F62AF" w14:paraId="0F7D5F44" w14:textId="77777777" w:rsidTr="00A8487E">
        <w:tc>
          <w:tcPr>
            <w:tcW w:w="540" w:type="dxa"/>
            <w:vMerge/>
            <w:shd w:val="clear" w:color="auto" w:fill="E7E6E6" w:themeFill="background2"/>
          </w:tcPr>
          <w:p w14:paraId="4B575146" w14:textId="77777777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2DFC4EF2" w14:textId="77777777" w:rsidR="00605F65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1114(b)(6) </w:t>
            </w:r>
            <w:r w:rsidRPr="005F3AA5">
              <w:rPr>
                <w:rFonts w:cstheme="minorHAnsi"/>
                <w:b/>
                <w:bCs/>
              </w:rPr>
              <w:t>is based on a comprehensive needs assessment</w:t>
            </w:r>
            <w:r w:rsidRPr="004F62AF">
              <w:rPr>
                <w:rFonts w:cstheme="minorHAnsi"/>
              </w:rPr>
              <w:t xml:space="preserve"> of the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entire school that </w:t>
            </w:r>
            <w:proofErr w:type="gramStart"/>
            <w:r w:rsidRPr="004F62AF">
              <w:rPr>
                <w:rFonts w:cstheme="minorHAnsi"/>
              </w:rPr>
              <w:t>takes into account</w:t>
            </w:r>
            <w:proofErr w:type="gramEnd"/>
            <w:r w:rsidRPr="004F62AF">
              <w:rPr>
                <w:rFonts w:cstheme="minorHAnsi"/>
              </w:rPr>
              <w:t xml:space="preserve"> information on the academic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achievement of children in relation to the </w:t>
            </w:r>
            <w:r>
              <w:rPr>
                <w:rFonts w:cstheme="minorHAnsi"/>
              </w:rPr>
              <w:t xml:space="preserve"> c</w:t>
            </w:r>
            <w:r w:rsidRPr="004F62AF">
              <w:rPr>
                <w:rFonts w:cstheme="minorHAnsi"/>
              </w:rPr>
              <w:t>hallenging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State academic standards, particularly the needs of those children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who are failing, or are at-risk of failing, to meet the </w:t>
            </w:r>
            <w:r>
              <w:rPr>
                <w:rFonts w:cstheme="minorHAnsi"/>
              </w:rPr>
              <w:t xml:space="preserve"> c</w:t>
            </w:r>
            <w:r w:rsidRPr="004F62AF">
              <w:rPr>
                <w:rFonts w:cstheme="minorHAnsi"/>
              </w:rPr>
              <w:t>hallenging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State academic standards and any other factors as determined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by the local educational agency</w:t>
            </w:r>
            <w:r>
              <w:rPr>
                <w:rFonts w:cstheme="minorHAnsi"/>
              </w:rPr>
              <w:t xml:space="preserve"> </w:t>
            </w:r>
          </w:p>
          <w:p w14:paraId="559D4BB6" w14:textId="77777777" w:rsidR="00605F65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2F6745" w14:textId="436D5D33" w:rsidR="00605F65" w:rsidRPr="004F62AF" w:rsidRDefault="00605F65" w:rsidP="005242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14" w:type="dxa"/>
          </w:tcPr>
          <w:p w14:paraId="3B999F34" w14:textId="7CD3ABAA" w:rsidR="00605F65" w:rsidRPr="004F62AF" w:rsidRDefault="00605F65">
            <w:pPr>
              <w:rPr>
                <w:rFonts w:cstheme="minorHAnsi"/>
              </w:rPr>
            </w:pPr>
            <w:r>
              <w:t>Part II: Needs Assessment/Analysis</w:t>
            </w:r>
          </w:p>
        </w:tc>
      </w:tr>
      <w:tr w:rsidR="00A8487E" w:rsidRPr="004F62AF" w14:paraId="44433939" w14:textId="77777777" w:rsidTr="00A8487E">
        <w:tc>
          <w:tcPr>
            <w:tcW w:w="540" w:type="dxa"/>
            <w:textDirection w:val="btLr"/>
            <w:vAlign w:val="center"/>
          </w:tcPr>
          <w:p w14:paraId="07968599" w14:textId="77777777" w:rsidR="00A8487E" w:rsidRPr="00605F65" w:rsidRDefault="00A8487E" w:rsidP="00A848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1" w:type="dxa"/>
            <w:shd w:val="clear" w:color="auto" w:fill="DEEAF6" w:themeFill="accent5" w:themeFillTint="33"/>
          </w:tcPr>
          <w:p w14:paraId="3490058A" w14:textId="61949302" w:rsidR="00A8487E" w:rsidRPr="00A8487E" w:rsidRDefault="00A8487E" w:rsidP="00A848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8487E">
              <w:rPr>
                <w:rFonts w:cstheme="minorHAnsi"/>
                <w:b/>
                <w:bCs/>
              </w:rPr>
              <w:t>Schoolwide Plan Requirement</w:t>
            </w:r>
          </w:p>
        </w:tc>
        <w:tc>
          <w:tcPr>
            <w:tcW w:w="2714" w:type="dxa"/>
            <w:shd w:val="clear" w:color="auto" w:fill="DEEAF6" w:themeFill="accent5" w:themeFillTint="33"/>
          </w:tcPr>
          <w:p w14:paraId="14315980" w14:textId="1BD89390" w:rsidR="00A8487E" w:rsidRPr="00A8487E" w:rsidRDefault="00A8487E" w:rsidP="00A8487E">
            <w:pPr>
              <w:jc w:val="center"/>
              <w:rPr>
                <w:rFonts w:cstheme="minorHAnsi"/>
                <w:b/>
                <w:bCs/>
              </w:rPr>
            </w:pPr>
            <w:r w:rsidRPr="00A8487E">
              <w:rPr>
                <w:rFonts w:cstheme="minorHAnsi"/>
                <w:b/>
                <w:bCs/>
              </w:rPr>
              <w:t>School Improvement Plan Component</w:t>
            </w:r>
          </w:p>
        </w:tc>
      </w:tr>
      <w:tr w:rsidR="00A8487E" w:rsidRPr="004F62AF" w14:paraId="539BA8A5" w14:textId="77777777" w:rsidTr="00A8487E">
        <w:tc>
          <w:tcPr>
            <w:tcW w:w="540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787829FC" w14:textId="1A9AB448" w:rsidR="00A8487E" w:rsidRDefault="00A8487E" w:rsidP="00A848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</w:rPr>
            </w:pPr>
            <w:r w:rsidRPr="00605F65">
              <w:rPr>
                <w:rFonts w:cstheme="minorHAnsi"/>
                <w:sz w:val="24"/>
                <w:szCs w:val="24"/>
              </w:rPr>
              <w:t>Required Components</w:t>
            </w:r>
            <w:r>
              <w:rPr>
                <w:rFonts w:cstheme="minorHAnsi"/>
                <w:sz w:val="24"/>
                <w:szCs w:val="24"/>
              </w:rPr>
              <w:t xml:space="preserve"> of the SWP</w:t>
            </w:r>
          </w:p>
        </w:tc>
        <w:tc>
          <w:tcPr>
            <w:tcW w:w="7181" w:type="dxa"/>
          </w:tcPr>
          <w:p w14:paraId="2A76A3CB" w14:textId="6FD5CF21" w:rsidR="00A8487E" w:rsidRPr="004F62AF" w:rsidRDefault="00A8487E" w:rsidP="00A848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1114(b)</w:t>
            </w:r>
            <w:r w:rsidRPr="004F62AF">
              <w:rPr>
                <w:rFonts w:cstheme="minorHAnsi"/>
              </w:rPr>
              <w:t>(7) includes a description of—</w:t>
            </w:r>
          </w:p>
          <w:p w14:paraId="35DC685F" w14:textId="5A409E62" w:rsidR="00A8487E" w:rsidRPr="004F62AF" w:rsidRDefault="00A8487E" w:rsidP="00A8487E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(A) the </w:t>
            </w:r>
            <w:r w:rsidRPr="00AD1A33">
              <w:rPr>
                <w:rFonts w:cstheme="minorHAnsi"/>
                <w:b/>
                <w:bCs/>
              </w:rPr>
              <w:t>strategies</w:t>
            </w:r>
            <w:r w:rsidRPr="004F62AF">
              <w:rPr>
                <w:rFonts w:cstheme="minorHAnsi"/>
              </w:rPr>
              <w:t xml:space="preserve"> that the school will be implementing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to address school needs, including a description of how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such strategies will—</w:t>
            </w:r>
          </w:p>
          <w:p w14:paraId="6B1BF356" w14:textId="31D75F44" w:rsidR="00A8487E" w:rsidRPr="004F62AF" w:rsidRDefault="00A8487E" w:rsidP="00A8487E">
            <w:pPr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  <w:r w:rsidRPr="004F62AF">
              <w:rPr>
                <w:rFonts w:cstheme="minorHAnsi"/>
              </w:rPr>
              <w:t>(</w:t>
            </w:r>
            <w:proofErr w:type="spellStart"/>
            <w:r w:rsidRPr="004F62AF">
              <w:rPr>
                <w:rFonts w:cstheme="minorHAnsi"/>
              </w:rPr>
              <w:t>i</w:t>
            </w:r>
            <w:proofErr w:type="spellEnd"/>
            <w:r w:rsidRPr="004F62AF">
              <w:rPr>
                <w:rFonts w:cstheme="minorHAnsi"/>
              </w:rPr>
              <w:t xml:space="preserve">) provide opportunities for </w:t>
            </w:r>
            <w:r w:rsidRPr="0011368C">
              <w:rPr>
                <w:rFonts w:cstheme="minorHAnsi"/>
                <w:b/>
                <w:bCs/>
              </w:rPr>
              <w:t>all children</w:t>
            </w:r>
            <w:r w:rsidRPr="004F62AF">
              <w:rPr>
                <w:rFonts w:cstheme="minorHAnsi"/>
              </w:rPr>
              <w:t>, including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each of the </w:t>
            </w:r>
            <w:r w:rsidRPr="0011368C">
              <w:rPr>
                <w:rFonts w:cstheme="minorHAnsi"/>
                <w:b/>
                <w:bCs/>
              </w:rPr>
              <w:t>subgroups</w:t>
            </w:r>
            <w:r w:rsidRPr="004F62AF">
              <w:rPr>
                <w:rFonts w:cstheme="minorHAnsi"/>
              </w:rPr>
              <w:t xml:space="preserve"> of students (as defined in section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1111(c)(2)) to meet the challenging State academic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standards;</w:t>
            </w:r>
          </w:p>
        </w:tc>
        <w:tc>
          <w:tcPr>
            <w:tcW w:w="2714" w:type="dxa"/>
          </w:tcPr>
          <w:p w14:paraId="455FD8D0" w14:textId="5270A9BF" w:rsidR="00A8487E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II: Needs Assessment, Subgroup Data</w:t>
            </w:r>
          </w:p>
          <w:p w14:paraId="2B8CB6DD" w14:textId="77777777" w:rsidR="00A8487E" w:rsidRDefault="00A8487E" w:rsidP="00A8487E">
            <w:pPr>
              <w:rPr>
                <w:rFonts w:cstheme="minorHAnsi"/>
              </w:rPr>
            </w:pPr>
          </w:p>
          <w:p w14:paraId="2A532ABF" w14:textId="4AEFE224" w:rsidR="00A8487E" w:rsidRPr="004F62AF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III: Planning for Improvement, Areas of Focus</w:t>
            </w:r>
          </w:p>
        </w:tc>
      </w:tr>
      <w:tr w:rsidR="00A8487E" w:rsidRPr="004F62AF" w14:paraId="7A6210F9" w14:textId="77777777" w:rsidTr="00A8487E">
        <w:tc>
          <w:tcPr>
            <w:tcW w:w="540" w:type="dxa"/>
            <w:vMerge/>
            <w:shd w:val="clear" w:color="auto" w:fill="D0CECE" w:themeFill="background2" w:themeFillShade="E6"/>
          </w:tcPr>
          <w:p w14:paraId="65CB464B" w14:textId="77777777" w:rsidR="00A8487E" w:rsidRPr="004F62AF" w:rsidRDefault="00A8487E" w:rsidP="00A8487E">
            <w:pPr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</w:p>
        </w:tc>
        <w:tc>
          <w:tcPr>
            <w:tcW w:w="7181" w:type="dxa"/>
          </w:tcPr>
          <w:p w14:paraId="795D8172" w14:textId="34EF9246" w:rsidR="00A8487E" w:rsidRPr="004F62AF" w:rsidRDefault="00A8487E" w:rsidP="00A8487E">
            <w:pPr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  <w:r w:rsidRPr="004F62AF">
              <w:rPr>
                <w:rFonts w:cstheme="minorHAnsi"/>
              </w:rPr>
              <w:t>(ii) use methods and instructional strategies that</w:t>
            </w:r>
            <w:r>
              <w:rPr>
                <w:rFonts w:cstheme="minorHAnsi"/>
              </w:rPr>
              <w:t xml:space="preserve"> </w:t>
            </w:r>
            <w:r w:rsidRPr="00A83ACC">
              <w:rPr>
                <w:rFonts w:cstheme="minorHAnsi"/>
                <w:b/>
                <w:bCs/>
              </w:rPr>
              <w:t>strengthen the academic program</w:t>
            </w:r>
            <w:r w:rsidRPr="004F62AF">
              <w:rPr>
                <w:rFonts w:cstheme="minorHAnsi"/>
              </w:rPr>
              <w:t xml:space="preserve"> in the school, </w:t>
            </w:r>
            <w:r w:rsidRPr="00A83ACC">
              <w:rPr>
                <w:rFonts w:cstheme="minorHAnsi"/>
                <w:b/>
                <w:bCs/>
              </w:rPr>
              <w:t>increase</w:t>
            </w:r>
            <w:r w:rsidRPr="00A83ACC">
              <w:rPr>
                <w:rFonts w:cstheme="minorHAnsi"/>
                <w:b/>
                <w:bCs/>
              </w:rPr>
              <w:t xml:space="preserve"> </w:t>
            </w:r>
            <w:r w:rsidRPr="00A83ACC">
              <w:rPr>
                <w:rFonts w:cstheme="minorHAnsi"/>
                <w:b/>
                <w:bCs/>
              </w:rPr>
              <w:t>the amount and quality of learning time</w:t>
            </w:r>
            <w:r w:rsidRPr="004F62AF">
              <w:rPr>
                <w:rFonts w:cstheme="minorHAnsi"/>
              </w:rPr>
              <w:t>, and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help </w:t>
            </w:r>
            <w:r w:rsidRPr="00A83ACC">
              <w:rPr>
                <w:rFonts w:cstheme="minorHAnsi"/>
                <w:b/>
                <w:bCs/>
              </w:rPr>
              <w:t>provide an enriched and accelerated curriculum</w:t>
            </w:r>
            <w:r w:rsidRPr="004F62A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which may include programs, activities, and courses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necessary to provide a well-rounded education; and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714" w:type="dxa"/>
          </w:tcPr>
          <w:p w14:paraId="133BDB8B" w14:textId="03D7FA9D" w:rsidR="00A8487E" w:rsidRPr="004F62AF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III: Planning for Improvement, Areas of Focus</w:t>
            </w:r>
          </w:p>
        </w:tc>
      </w:tr>
      <w:tr w:rsidR="00A8487E" w:rsidRPr="004F62AF" w14:paraId="7158CF24" w14:textId="77777777" w:rsidTr="00A8487E">
        <w:tc>
          <w:tcPr>
            <w:tcW w:w="540" w:type="dxa"/>
            <w:vMerge/>
            <w:shd w:val="clear" w:color="auto" w:fill="D0CECE" w:themeFill="background2" w:themeFillShade="E6"/>
          </w:tcPr>
          <w:p w14:paraId="41C9F469" w14:textId="77777777" w:rsidR="00A8487E" w:rsidRPr="004F62AF" w:rsidRDefault="00A8487E" w:rsidP="00A8487E">
            <w:pPr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</w:p>
        </w:tc>
        <w:tc>
          <w:tcPr>
            <w:tcW w:w="7181" w:type="dxa"/>
          </w:tcPr>
          <w:p w14:paraId="3889D56E" w14:textId="4254944C" w:rsidR="00A8487E" w:rsidRPr="004F62AF" w:rsidRDefault="00A8487E" w:rsidP="00A8487E">
            <w:pPr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  <w:r w:rsidRPr="004F62AF">
              <w:rPr>
                <w:rFonts w:cstheme="minorHAnsi"/>
              </w:rPr>
              <w:t xml:space="preserve">(iii) address the </w:t>
            </w:r>
            <w:r w:rsidRPr="00A83ACC">
              <w:rPr>
                <w:rFonts w:cstheme="minorHAnsi"/>
                <w:b/>
                <w:bCs/>
              </w:rPr>
              <w:t>needs of all children</w:t>
            </w:r>
            <w:r w:rsidRPr="004F62AF">
              <w:rPr>
                <w:rFonts w:cstheme="minorHAnsi"/>
              </w:rPr>
              <w:t xml:space="preserve"> in the school,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but particularly the needs of those </w:t>
            </w:r>
            <w:r w:rsidRPr="00A83ACC">
              <w:rPr>
                <w:rFonts w:cstheme="minorHAnsi"/>
                <w:b/>
                <w:bCs/>
              </w:rPr>
              <w:t>at risk</w:t>
            </w:r>
            <w:r w:rsidRPr="004F62AF">
              <w:rPr>
                <w:rFonts w:cstheme="minorHAnsi"/>
              </w:rPr>
              <w:t xml:space="preserve"> of not meeting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the challenging State academic standards, through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 xml:space="preserve">activities which </w:t>
            </w:r>
            <w:r w:rsidRPr="005F3AA5">
              <w:rPr>
                <w:rFonts w:cstheme="minorHAnsi"/>
                <w:b/>
                <w:bCs/>
              </w:rPr>
              <w:t>may</w:t>
            </w:r>
            <w:r w:rsidRPr="004F62AF">
              <w:rPr>
                <w:rFonts w:cstheme="minorHAnsi"/>
              </w:rPr>
              <w:t xml:space="preserve"> include—</w:t>
            </w:r>
          </w:p>
          <w:p w14:paraId="1ACDBA2D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(I) counseling, school-based mental health</w:t>
            </w:r>
          </w:p>
          <w:p w14:paraId="6938E2AA" w14:textId="61386570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programs, specialized instructional support services,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mentoring services, and other strategies to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improve students’ skills outside the academic subject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8487E">
              <w:rPr>
                <w:rFonts w:cstheme="minorHAnsi"/>
                <w:sz w:val="20"/>
                <w:szCs w:val="20"/>
              </w:rPr>
              <w:t>areas;</w:t>
            </w:r>
            <w:proofErr w:type="gramEnd"/>
          </w:p>
          <w:p w14:paraId="465C7F94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(II) preparation for and awareness of opportunities</w:t>
            </w:r>
          </w:p>
          <w:p w14:paraId="65973937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for postsecondary education and the workforce,</w:t>
            </w:r>
          </w:p>
          <w:p w14:paraId="757AD4C2" w14:textId="4B56FB52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 xml:space="preserve">which may include career and technical </w:t>
            </w:r>
            <w:r w:rsidRPr="00A8487E">
              <w:rPr>
                <w:rFonts w:cstheme="minorHAnsi"/>
                <w:sz w:val="20"/>
                <w:szCs w:val="20"/>
              </w:rPr>
              <w:t xml:space="preserve"> e</w:t>
            </w:r>
            <w:r w:rsidRPr="00A8487E">
              <w:rPr>
                <w:rFonts w:cstheme="minorHAnsi"/>
                <w:sz w:val="20"/>
                <w:szCs w:val="20"/>
              </w:rPr>
              <w:t>ducation</w:t>
            </w:r>
          </w:p>
          <w:p w14:paraId="04411842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programs and broadening secondary school</w:t>
            </w:r>
          </w:p>
          <w:p w14:paraId="22ED3921" w14:textId="3EC6D08B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students’ access to coursework to earn postsecondary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credit while still in high school (such as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Advanced Placement, International Baccalaureate,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dual or concurrent enrollment, or early college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high schools</w:t>
            </w:r>
            <w:proofErr w:type="gramStart"/>
            <w:r w:rsidRPr="00A8487E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268FEB11" w14:textId="359734A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(III) implementation of a schoolwide tiered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model to prevent and address problem behavior,</w:t>
            </w:r>
          </w:p>
          <w:p w14:paraId="7A39B19C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and early intervening services, coordinated with</w:t>
            </w:r>
          </w:p>
          <w:p w14:paraId="125F94A0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similar activities and services carried out under</w:t>
            </w:r>
          </w:p>
          <w:p w14:paraId="77D587C7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the Individuals with Disabilities Education Act</w:t>
            </w:r>
          </w:p>
          <w:p w14:paraId="55C6CC56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(20 U.S.C. 1400 et seq.</w:t>
            </w:r>
            <w:proofErr w:type="gramStart"/>
            <w:r w:rsidRPr="00A8487E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5E6D7C17" w14:textId="30D3EA73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(IV) professional development and other activities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for teachers, paraprofessionals, and other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school personnel to improve instruction and use of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data from academic assessments, and to recruit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and retain effective teachers, particularly in high</w:t>
            </w:r>
            <w:r w:rsidRPr="00A8487E">
              <w:rPr>
                <w:rFonts w:cstheme="minorHAnsi"/>
                <w:sz w:val="20"/>
                <w:szCs w:val="20"/>
              </w:rPr>
              <w:t>-</w:t>
            </w:r>
            <w:r w:rsidRPr="00A8487E">
              <w:rPr>
                <w:rFonts w:cstheme="minorHAnsi"/>
                <w:sz w:val="20"/>
                <w:szCs w:val="20"/>
              </w:rPr>
              <w:t>need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subjects; and</w:t>
            </w:r>
          </w:p>
          <w:p w14:paraId="293E5ABE" w14:textId="77777777" w:rsidR="00A8487E" w:rsidRPr="00A8487E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  <w:sz w:val="20"/>
                <w:szCs w:val="20"/>
              </w:rPr>
            </w:pPr>
            <w:r w:rsidRPr="00A8487E">
              <w:rPr>
                <w:rFonts w:cstheme="minorHAnsi"/>
                <w:sz w:val="20"/>
                <w:szCs w:val="20"/>
              </w:rPr>
              <w:t>(V) strategies for assisting preschool children</w:t>
            </w:r>
          </w:p>
          <w:p w14:paraId="04C71BD3" w14:textId="5EF464CD" w:rsidR="00A8487E" w:rsidRPr="004F62AF" w:rsidRDefault="00A8487E" w:rsidP="00A8487E">
            <w:pPr>
              <w:autoSpaceDE w:val="0"/>
              <w:autoSpaceDN w:val="0"/>
              <w:adjustRightInd w:val="0"/>
              <w:ind w:left="2160"/>
              <w:rPr>
                <w:rFonts w:cstheme="minorHAnsi"/>
              </w:rPr>
            </w:pPr>
            <w:r w:rsidRPr="00A8487E">
              <w:rPr>
                <w:rFonts w:cstheme="minorHAnsi"/>
                <w:sz w:val="20"/>
                <w:szCs w:val="20"/>
              </w:rPr>
              <w:t>in the transition from early childhood education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programs to local elementary school programs;</w:t>
            </w:r>
            <w:r w:rsidRPr="00A8487E">
              <w:rPr>
                <w:rFonts w:cstheme="minorHAnsi"/>
                <w:sz w:val="20"/>
                <w:szCs w:val="20"/>
              </w:rPr>
              <w:t xml:space="preserve"> </w:t>
            </w:r>
            <w:r w:rsidRPr="00A8487E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714" w:type="dxa"/>
          </w:tcPr>
          <w:p w14:paraId="0F98420E" w14:textId="0474F272" w:rsidR="00A8487E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I: Early Warning System</w:t>
            </w:r>
            <w:r>
              <w:rPr>
                <w:rFonts w:cstheme="minorHAnsi"/>
              </w:rPr>
              <w:t>s</w:t>
            </w:r>
          </w:p>
          <w:p w14:paraId="08DC3F4C" w14:textId="77777777" w:rsidR="00A8487E" w:rsidRDefault="00A8487E" w:rsidP="00A8487E">
            <w:pPr>
              <w:rPr>
                <w:rFonts w:cstheme="minorHAnsi"/>
              </w:rPr>
            </w:pPr>
          </w:p>
          <w:p w14:paraId="048AE858" w14:textId="5F2AD28C" w:rsidR="00A8487E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II: Needs Assessment, Subgroup Data</w:t>
            </w:r>
          </w:p>
          <w:p w14:paraId="60002A8B" w14:textId="77777777" w:rsidR="00A8487E" w:rsidRDefault="00A8487E" w:rsidP="00A8487E">
            <w:pPr>
              <w:rPr>
                <w:rFonts w:cstheme="minorHAnsi"/>
              </w:rPr>
            </w:pPr>
          </w:p>
          <w:p w14:paraId="658318BC" w14:textId="016D07A4" w:rsidR="00A8487E" w:rsidRPr="004F62AF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Part III: Planning for Improvement, Areas of Focus</w:t>
            </w:r>
          </w:p>
        </w:tc>
      </w:tr>
      <w:tr w:rsidR="00A8487E" w:rsidRPr="004F62AF" w14:paraId="3B2FBD43" w14:textId="77777777" w:rsidTr="00A8487E">
        <w:tc>
          <w:tcPr>
            <w:tcW w:w="540" w:type="dxa"/>
            <w:vMerge/>
            <w:shd w:val="clear" w:color="auto" w:fill="D0CECE" w:themeFill="background2" w:themeFillShade="E6"/>
          </w:tcPr>
          <w:p w14:paraId="00729E32" w14:textId="77777777" w:rsidR="00A8487E" w:rsidRPr="004F62AF" w:rsidRDefault="00A8487E" w:rsidP="00A8487E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</w:p>
        </w:tc>
        <w:tc>
          <w:tcPr>
            <w:tcW w:w="7181" w:type="dxa"/>
          </w:tcPr>
          <w:p w14:paraId="28FB4842" w14:textId="7BB240F3" w:rsidR="00A8487E" w:rsidRPr="004F62AF" w:rsidRDefault="00A8487E" w:rsidP="00A8487E">
            <w:pPr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4F62AF">
              <w:rPr>
                <w:rFonts w:cstheme="minorHAnsi"/>
              </w:rPr>
              <w:t>(B) if programs are consolidated, the specific State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educational agency and local educational agency programs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and other Federal programs that will be consolidated in</w:t>
            </w:r>
            <w:r>
              <w:rPr>
                <w:rFonts w:cstheme="minorHAnsi"/>
              </w:rPr>
              <w:t xml:space="preserve"> </w:t>
            </w:r>
            <w:r w:rsidRPr="004F62AF">
              <w:rPr>
                <w:rFonts w:cstheme="minorHAnsi"/>
              </w:rPr>
              <w:t>the schoolwide program.</w:t>
            </w:r>
          </w:p>
        </w:tc>
        <w:tc>
          <w:tcPr>
            <w:tcW w:w="2714" w:type="dxa"/>
          </w:tcPr>
          <w:p w14:paraId="4B0FE0CC" w14:textId="5529D21B" w:rsidR="00A8487E" w:rsidRPr="004F62AF" w:rsidRDefault="00A8487E" w:rsidP="00A8487E">
            <w:pPr>
              <w:rPr>
                <w:rFonts w:cstheme="minorHAnsi"/>
              </w:rPr>
            </w:pPr>
            <w:r>
              <w:rPr>
                <w:rFonts w:cstheme="minorHAnsi"/>
              </w:rPr>
              <w:t>N/A, no Florida LEAs are consolidating federal programs.</w:t>
            </w:r>
          </w:p>
        </w:tc>
      </w:tr>
    </w:tbl>
    <w:p w14:paraId="618BA5AD" w14:textId="77777777" w:rsidR="005360AF" w:rsidRDefault="005E3566"/>
    <w:sectPr w:rsidR="005360AF" w:rsidSect="005242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26"/>
    <w:rsid w:val="0011368C"/>
    <w:rsid w:val="001D45EC"/>
    <w:rsid w:val="004F62AF"/>
    <w:rsid w:val="00524296"/>
    <w:rsid w:val="005E3566"/>
    <w:rsid w:val="005F3AA5"/>
    <w:rsid w:val="00605F65"/>
    <w:rsid w:val="00933CE2"/>
    <w:rsid w:val="00A83ACC"/>
    <w:rsid w:val="00A8487E"/>
    <w:rsid w:val="00AD1A33"/>
    <w:rsid w:val="00AE6D98"/>
    <w:rsid w:val="00E058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57AA"/>
  <w15:chartTrackingRefBased/>
  <w15:docId w15:val="{2FF0A1A2-3CB4-449C-B2FA-74AC6B61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851B-CAD1-4B49-B664-2095D352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Anna R.</dc:creator>
  <cp:keywords/>
  <dc:description/>
  <cp:lastModifiedBy>Moore, Anna R.</cp:lastModifiedBy>
  <cp:revision>1</cp:revision>
  <dcterms:created xsi:type="dcterms:W3CDTF">2022-08-12T16:30:00Z</dcterms:created>
  <dcterms:modified xsi:type="dcterms:W3CDTF">2022-08-12T17:53:00Z</dcterms:modified>
</cp:coreProperties>
</file>